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BB" w:rsidRDefault="001F39BB" w:rsidP="00C00FDD">
      <w:pPr>
        <w:pStyle w:val="Sansinterligne"/>
        <w:jc w:val="right"/>
        <w:rPr>
          <w:szCs w:val="20"/>
        </w:rPr>
      </w:pPr>
    </w:p>
    <w:p w:rsidR="00C00FDD" w:rsidRDefault="00F54673" w:rsidP="00C00FDD">
      <w:pPr>
        <w:pStyle w:val="Sansinterligne"/>
        <w:jc w:val="right"/>
        <w:rPr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1" layoutInCell="1" allowOverlap="0" wp14:anchorId="754B5759" wp14:editId="6662DB5B">
            <wp:simplePos x="0" y="0"/>
            <wp:positionH relativeFrom="page">
              <wp:posOffset>190500</wp:posOffset>
            </wp:positionH>
            <wp:positionV relativeFrom="page">
              <wp:posOffset>9525</wp:posOffset>
            </wp:positionV>
            <wp:extent cx="7105650" cy="1538605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150_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FDD" w:rsidRDefault="00C00FDD" w:rsidP="00C00FDD">
      <w:pPr>
        <w:pStyle w:val="Sansinterligne"/>
        <w:jc w:val="right"/>
        <w:rPr>
          <w:szCs w:val="20"/>
        </w:rPr>
      </w:pPr>
    </w:p>
    <w:p w:rsidR="00C00FDD" w:rsidRDefault="00F54673" w:rsidP="00C00FDD">
      <w:pPr>
        <w:pStyle w:val="Sansinterligne"/>
        <w:jc w:val="right"/>
        <w:rPr>
          <w:szCs w:val="20"/>
        </w:rPr>
      </w:pPr>
      <w:r>
        <w:rPr>
          <w:szCs w:val="20"/>
        </w:rPr>
        <w:t>Orléans</w:t>
      </w:r>
      <w:r w:rsidRPr="00A80A17">
        <w:rPr>
          <w:szCs w:val="20"/>
        </w:rPr>
        <w:t xml:space="preserve"> le </w:t>
      </w:r>
      <w:r>
        <w:rPr>
          <w:szCs w:val="20"/>
        </w:rPr>
        <w:t xml:space="preserve"> 17 novembre  2021</w:t>
      </w:r>
    </w:p>
    <w:p w:rsidR="00C00FDD" w:rsidRDefault="00C00FDD" w:rsidP="00C00FDD">
      <w:pPr>
        <w:pStyle w:val="Sansinterligne"/>
        <w:jc w:val="right"/>
        <w:rPr>
          <w:szCs w:val="20"/>
        </w:rPr>
      </w:pPr>
    </w:p>
    <w:p w:rsidR="00C00FDD" w:rsidRDefault="00C00FDD" w:rsidP="00C00FDD">
      <w:pPr>
        <w:pStyle w:val="Sansinterligne"/>
        <w:jc w:val="right"/>
        <w:rPr>
          <w:szCs w:val="20"/>
        </w:rPr>
      </w:pPr>
    </w:p>
    <w:tbl>
      <w:tblPr>
        <w:tblpPr w:leftFromText="142" w:rightFromText="142" w:vertAnchor="page" w:horzAnchor="margin" w:tblpY="3618"/>
        <w:tblOverlap w:val="never"/>
        <w:tblW w:w="4961" w:type="pct"/>
        <w:tblLayout w:type="fixed"/>
        <w:tblCellMar>
          <w:top w:w="170" w:type="dxa"/>
          <w:left w:w="0" w:type="dxa"/>
          <w:bottom w:w="17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349"/>
        <w:gridCol w:w="7604"/>
      </w:tblGrid>
      <w:tr w:rsidR="00C00FDD" w:rsidRPr="007D0358" w:rsidTr="001341D2">
        <w:trPr>
          <w:cantSplit/>
          <w:trHeight w:val="394"/>
        </w:trPr>
        <w:tc>
          <w:tcPr>
            <w:tcW w:w="582" w:type="pct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</w:tcPr>
          <w:p w:rsidR="00C00FDD" w:rsidRPr="007D0358" w:rsidRDefault="00C00FDD" w:rsidP="001341D2">
            <w:pPr>
              <w:spacing w:before="0"/>
              <w:rPr>
                <w:szCs w:val="20"/>
                <w:u w:val="single"/>
              </w:rPr>
            </w:pPr>
            <w:r w:rsidRPr="007D0358">
              <w:rPr>
                <w:szCs w:val="20"/>
                <w:u w:val="single"/>
              </w:rPr>
              <w:t>Auteur(s)</w:t>
            </w:r>
            <w:r w:rsidRPr="007D0358">
              <w:rPr>
                <w:szCs w:val="20"/>
              </w:rPr>
              <w:t xml:space="preserve"> :</w:t>
            </w:r>
          </w:p>
        </w:tc>
        <w:tc>
          <w:tcPr>
            <w:tcW w:w="441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00FDD" w:rsidRPr="007D0358" w:rsidRDefault="00C00FDD" w:rsidP="001341D2">
            <w:pPr>
              <w:pStyle w:val="StyleArial10ptJustifi"/>
              <w:spacing w:before="0"/>
            </w:pPr>
            <w:r>
              <w:t>M FUENTES, Direction de l’évaluation et de la Planification</w:t>
            </w:r>
          </w:p>
        </w:tc>
      </w:tr>
      <w:tr w:rsidR="00C00FDD" w:rsidRPr="007B0041" w:rsidTr="001341D2">
        <w:trPr>
          <w:cantSplit/>
          <w:trHeight w:val="357"/>
        </w:trPr>
        <w:tc>
          <w:tcPr>
            <w:tcW w:w="776" w:type="pct"/>
            <w:gridSpan w:val="2"/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</w:tcPr>
          <w:p w:rsidR="00C00FDD" w:rsidRPr="007D0358" w:rsidRDefault="00C00FDD" w:rsidP="001341D2">
            <w:pPr>
              <w:spacing w:before="0"/>
              <w:ind w:left="1496" w:hanging="1496"/>
              <w:rPr>
                <w:szCs w:val="20"/>
                <w:u w:val="single"/>
                <w:lang w:val="fr-CH"/>
              </w:rPr>
            </w:pPr>
            <w:r w:rsidRPr="007D0358">
              <w:rPr>
                <w:szCs w:val="20"/>
                <w:u w:val="single"/>
              </w:rPr>
              <w:t>Destinataire(s)</w:t>
            </w:r>
            <w:r w:rsidRPr="007D0358">
              <w:rPr>
                <w:szCs w:val="20"/>
              </w:rPr>
              <w:t xml:space="preserve"> :</w:t>
            </w:r>
          </w:p>
        </w:tc>
        <w:tc>
          <w:tcPr>
            <w:tcW w:w="4224" w:type="pct"/>
            <w:shd w:val="clear" w:color="auto" w:fill="auto"/>
          </w:tcPr>
          <w:p w:rsidR="00C00FDD" w:rsidRPr="00B56D0C" w:rsidRDefault="00C00FDD" w:rsidP="001341D2">
            <w:pPr>
              <w:spacing w:before="0"/>
              <w:rPr>
                <w:b/>
                <w:bCs/>
                <w:szCs w:val="20"/>
              </w:rPr>
            </w:pPr>
            <w:r w:rsidRPr="000D1837">
              <w:rPr>
                <w:b/>
                <w:bCs/>
                <w:szCs w:val="20"/>
              </w:rPr>
              <w:t>D</w:t>
            </w:r>
            <w:r>
              <w:rPr>
                <w:b/>
                <w:bCs/>
                <w:szCs w:val="20"/>
              </w:rPr>
              <w:t>EP, D</w:t>
            </w:r>
            <w:r w:rsidRPr="000D1837">
              <w:rPr>
                <w:b/>
                <w:bCs/>
                <w:szCs w:val="20"/>
              </w:rPr>
              <w:t>ELEGATION AE</w:t>
            </w:r>
          </w:p>
        </w:tc>
      </w:tr>
      <w:tr w:rsidR="00C00FDD" w:rsidRPr="000D1837" w:rsidTr="001341D2">
        <w:trPr>
          <w:cantSplit/>
          <w:trHeight w:val="382"/>
        </w:trPr>
        <w:tc>
          <w:tcPr>
            <w:tcW w:w="582" w:type="pct"/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</w:tcPr>
          <w:p w:rsidR="00C00FDD" w:rsidRPr="00D50280" w:rsidRDefault="00C00FDD" w:rsidP="001341D2">
            <w:pPr>
              <w:spacing w:before="0"/>
              <w:ind w:left="935" w:hanging="935"/>
              <w:rPr>
                <w:szCs w:val="20"/>
                <w:u w:val="single"/>
              </w:rPr>
            </w:pPr>
            <w:r w:rsidRPr="00D50280">
              <w:rPr>
                <w:szCs w:val="20"/>
                <w:u w:val="single"/>
              </w:rPr>
              <w:t>Copie(s)</w:t>
            </w:r>
            <w:r w:rsidRPr="00D50280">
              <w:rPr>
                <w:szCs w:val="20"/>
              </w:rPr>
              <w:t xml:space="preserve"> :</w:t>
            </w:r>
          </w:p>
        </w:tc>
        <w:tc>
          <w:tcPr>
            <w:tcW w:w="4418" w:type="pct"/>
            <w:gridSpan w:val="2"/>
            <w:shd w:val="clear" w:color="auto" w:fill="auto"/>
          </w:tcPr>
          <w:p w:rsidR="00C00FDD" w:rsidRPr="000D1837" w:rsidRDefault="00C00FDD" w:rsidP="001341D2">
            <w:pPr>
              <w:spacing w:before="0"/>
              <w:rPr>
                <w:szCs w:val="20"/>
              </w:rPr>
            </w:pPr>
            <w:proofErr w:type="spellStart"/>
            <w:r w:rsidRPr="000D1837">
              <w:rPr>
                <w:b/>
                <w:bCs/>
                <w:szCs w:val="20"/>
              </w:rPr>
              <w:t>DREALs</w:t>
            </w:r>
            <w:proofErr w:type="spellEnd"/>
            <w:r w:rsidRPr="000D1837">
              <w:rPr>
                <w:b/>
                <w:bCs/>
                <w:szCs w:val="20"/>
              </w:rPr>
              <w:t xml:space="preserve">, </w:t>
            </w:r>
            <w:proofErr w:type="spellStart"/>
            <w:r w:rsidRPr="000D1837">
              <w:rPr>
                <w:b/>
                <w:bCs/>
                <w:szCs w:val="20"/>
              </w:rPr>
              <w:t>O</w:t>
            </w:r>
            <w:r>
              <w:rPr>
                <w:b/>
                <w:bCs/>
                <w:szCs w:val="20"/>
              </w:rPr>
              <w:t>FB</w:t>
            </w:r>
            <w:proofErr w:type="spellEnd"/>
            <w:r w:rsidRPr="000D1837">
              <w:rPr>
                <w:b/>
                <w:bCs/>
                <w:szCs w:val="20"/>
              </w:rPr>
              <w:t xml:space="preserve">, </w:t>
            </w:r>
            <w:r w:rsidRPr="000D1837">
              <w:rPr>
                <w:b/>
                <w:szCs w:val="20"/>
              </w:rPr>
              <w:t>Fédérations de pêche</w:t>
            </w:r>
            <w:r>
              <w:rPr>
                <w:b/>
                <w:szCs w:val="20"/>
              </w:rPr>
              <w:t>, Services techniques des conseils départementaux</w:t>
            </w:r>
          </w:p>
        </w:tc>
      </w:tr>
      <w:tr w:rsidR="00C00FDD" w:rsidRPr="007B0041" w:rsidTr="001341D2">
        <w:trPr>
          <w:cantSplit/>
          <w:trHeight w:val="364"/>
        </w:trPr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</w:tcPr>
          <w:p w:rsidR="00C00FDD" w:rsidRPr="00D50280" w:rsidRDefault="00C00FDD" w:rsidP="001341D2">
            <w:pPr>
              <w:spacing w:before="0"/>
              <w:ind w:left="935" w:hanging="935"/>
              <w:rPr>
                <w:szCs w:val="20"/>
                <w:u w:val="single"/>
              </w:rPr>
            </w:pPr>
            <w:r w:rsidRPr="00D50280">
              <w:rPr>
                <w:szCs w:val="20"/>
                <w:u w:val="single"/>
              </w:rPr>
              <w:t>Objet</w:t>
            </w:r>
            <w:r w:rsidRPr="00D50280">
              <w:rPr>
                <w:szCs w:val="20"/>
              </w:rPr>
              <w:t xml:space="preserve"> :</w:t>
            </w:r>
          </w:p>
        </w:tc>
        <w:tc>
          <w:tcPr>
            <w:tcW w:w="44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0FDD" w:rsidRPr="007B0041" w:rsidRDefault="00C00FDD" w:rsidP="001341D2">
            <w:pPr>
              <w:spacing w:before="0"/>
              <w:rPr>
                <w:b/>
                <w:bCs/>
                <w:szCs w:val="20"/>
              </w:rPr>
            </w:pPr>
            <w:r>
              <w:rPr>
                <w:b/>
              </w:rPr>
              <w:t>R</w:t>
            </w:r>
            <w:r w:rsidRPr="00D50280">
              <w:rPr>
                <w:b/>
              </w:rPr>
              <w:t xml:space="preserve">évision du programme de surveillance </w:t>
            </w:r>
            <w:r>
              <w:rPr>
                <w:b/>
              </w:rPr>
              <w:t xml:space="preserve">de l’état écologique </w:t>
            </w:r>
            <w:r w:rsidRPr="00D50280">
              <w:rPr>
                <w:b/>
              </w:rPr>
              <w:t>des masse</w:t>
            </w:r>
            <w:r>
              <w:rPr>
                <w:b/>
              </w:rPr>
              <w:t xml:space="preserve">s d’eau plan d’eau </w:t>
            </w:r>
            <w:r w:rsidRPr="00D50280">
              <w:rPr>
                <w:b/>
              </w:rPr>
              <w:t>pour le cycle de surveillance 20</w:t>
            </w:r>
            <w:r>
              <w:rPr>
                <w:b/>
              </w:rPr>
              <w:t>22</w:t>
            </w:r>
            <w:r w:rsidRPr="00D5028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D50280">
              <w:rPr>
                <w:b/>
              </w:rPr>
              <w:t>.</w:t>
            </w:r>
          </w:p>
        </w:tc>
      </w:tr>
    </w:tbl>
    <w:p w:rsidR="00C00FDD" w:rsidRPr="00C00FDD" w:rsidRDefault="00C00FDD" w:rsidP="00C00FDD">
      <w:pPr>
        <w:rPr>
          <w:lang w:eastAsia="en-US"/>
        </w:rPr>
      </w:pPr>
    </w:p>
    <w:p w:rsidR="00C00FDD" w:rsidRPr="00CF4737" w:rsidRDefault="00C00FDD" w:rsidP="00C00FDD">
      <w:pPr>
        <w:jc w:val="center"/>
        <w:rPr>
          <w:b/>
          <w:bCs/>
          <w:sz w:val="40"/>
          <w:szCs w:val="40"/>
        </w:rPr>
      </w:pPr>
      <w:r w:rsidRPr="00CF4737">
        <w:rPr>
          <w:b/>
          <w:bCs/>
          <w:sz w:val="40"/>
          <w:szCs w:val="40"/>
        </w:rPr>
        <w:t xml:space="preserve">Note </w:t>
      </w:r>
      <w:r w:rsidR="00F44B1E">
        <w:rPr>
          <w:b/>
          <w:bCs/>
          <w:sz w:val="40"/>
          <w:szCs w:val="40"/>
        </w:rPr>
        <w:t>technique</w:t>
      </w:r>
    </w:p>
    <w:p w:rsidR="00C00FDD" w:rsidRPr="00C00FDD" w:rsidRDefault="00C00FDD" w:rsidP="00C00FDD">
      <w:pPr>
        <w:tabs>
          <w:tab w:val="left" w:pos="3555"/>
        </w:tabs>
        <w:rPr>
          <w:lang w:eastAsia="en-US"/>
        </w:rPr>
      </w:pPr>
    </w:p>
    <w:p w:rsidR="00C00FDD" w:rsidRDefault="00C00FDD" w:rsidP="00C00FDD">
      <w:pPr>
        <w:jc w:val="both"/>
      </w:pPr>
      <w:r>
        <w:t>Cette note a pour but de présenter la constitution du programme de surveillance Plan d’Eau pour le cycle 2022-2027 pour les éléments de qualité constituant l’état écologique.</w:t>
      </w:r>
    </w:p>
    <w:p w:rsidR="00C00FDD" w:rsidRPr="00C00FDD" w:rsidRDefault="00C00FDD" w:rsidP="00C00FDD">
      <w:pPr>
        <w:keepNext/>
        <w:spacing w:before="240" w:after="60"/>
        <w:jc w:val="both"/>
        <w:outlineLvl w:val="1"/>
        <w:rPr>
          <w:rFonts w:cs="Arial"/>
          <w:b/>
          <w:bCs/>
          <w:i/>
          <w:iCs/>
          <w:sz w:val="22"/>
          <w:szCs w:val="22"/>
        </w:rPr>
      </w:pPr>
      <w:r w:rsidRPr="00C00FDD">
        <w:rPr>
          <w:rFonts w:cs="Arial"/>
          <w:b/>
          <w:bCs/>
          <w:i/>
          <w:iCs/>
          <w:sz w:val="28"/>
          <w:szCs w:val="28"/>
        </w:rPr>
        <w:t>Rappel réglementaire</w:t>
      </w:r>
    </w:p>
    <w:p w:rsidR="00C00FDD" w:rsidRPr="00C00FDD" w:rsidRDefault="00C00FDD" w:rsidP="00C00FDD">
      <w:pPr>
        <w:autoSpaceDE w:val="0"/>
        <w:autoSpaceDN w:val="0"/>
        <w:adjustRightInd w:val="0"/>
        <w:spacing w:before="0"/>
        <w:jc w:val="both"/>
        <w:rPr>
          <w:rFonts w:ascii="Times New Roman" w:hAnsi="Times New Roman"/>
          <w:i/>
          <w:szCs w:val="20"/>
        </w:rPr>
      </w:pPr>
      <w:r w:rsidRPr="00C00FDD">
        <w:rPr>
          <w:rFonts w:cs="Arial"/>
          <w:szCs w:val="20"/>
        </w:rPr>
        <w:t xml:space="preserve">Conformément à la DCE (annexe V 1.3), un programme de surveillance (PDS) est établi pour chaque période couverte par un plan de gestion de district hydrographique (SDAGE) : </w:t>
      </w:r>
      <w:r w:rsidRPr="00C00FDD">
        <w:rPr>
          <w:rFonts w:ascii="Times New Roman" w:hAnsi="Times New Roman"/>
          <w:i/>
          <w:szCs w:val="20"/>
        </w:rPr>
        <w:t>« Sur la base de l'analyse des caractéristiques et de l'étude des incidences effectuées conformément à l'article 5 et à l'annexe II, les États membres établissent, pour chaque période couverte par un plan de gestion de district hydrographique, un programme de contrôle de surveillance et un programme de contrôles opérationnels. »</w:t>
      </w:r>
    </w:p>
    <w:p w:rsidR="00C00FDD" w:rsidRPr="00C00FDD" w:rsidRDefault="00C00FDD" w:rsidP="00C00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cs="Arial"/>
          <w:b/>
          <w:szCs w:val="20"/>
        </w:rPr>
      </w:pPr>
      <w:r w:rsidRPr="00C00FDD">
        <w:rPr>
          <w:rFonts w:cs="Arial"/>
          <w:szCs w:val="20"/>
        </w:rPr>
        <w:t xml:space="preserve">Le </w:t>
      </w:r>
      <w:r w:rsidRPr="00C00FDD">
        <w:rPr>
          <w:rFonts w:cs="Arial"/>
          <w:b/>
          <w:szCs w:val="20"/>
        </w:rPr>
        <w:t xml:space="preserve">contrôle de surveillance </w:t>
      </w:r>
      <w:r w:rsidRPr="00C00FDD">
        <w:rPr>
          <w:rFonts w:cs="Arial"/>
          <w:szCs w:val="20"/>
        </w:rPr>
        <w:t xml:space="preserve">a été conçu pour donner une image </w:t>
      </w:r>
      <w:r w:rsidRPr="00C00FDD">
        <w:rPr>
          <w:rFonts w:cs="Arial"/>
          <w:b/>
          <w:szCs w:val="20"/>
        </w:rPr>
        <w:t>de l’état général des eaux.</w:t>
      </w:r>
    </w:p>
    <w:p w:rsidR="00C00FDD" w:rsidRPr="00C00FDD" w:rsidRDefault="00C00FDD" w:rsidP="00C00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cs="Arial"/>
          <w:szCs w:val="20"/>
        </w:rPr>
      </w:pPr>
      <w:r w:rsidRPr="00C00FDD">
        <w:rPr>
          <w:rFonts w:cs="Arial"/>
          <w:szCs w:val="20"/>
        </w:rPr>
        <w:t xml:space="preserve">Le </w:t>
      </w:r>
      <w:r w:rsidRPr="00C00FDD">
        <w:rPr>
          <w:rFonts w:cs="Arial"/>
          <w:b/>
          <w:bCs/>
          <w:szCs w:val="20"/>
        </w:rPr>
        <w:t>contrôle opérationnel</w:t>
      </w:r>
      <w:r w:rsidRPr="00C00FDD">
        <w:rPr>
          <w:rFonts w:cs="Arial"/>
          <w:szCs w:val="20"/>
        </w:rPr>
        <w:t xml:space="preserve"> a deux objectifs : </w:t>
      </w:r>
    </w:p>
    <w:p w:rsidR="00C00FDD" w:rsidRPr="00C00FDD" w:rsidRDefault="00C00FDD" w:rsidP="00C00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cs="Arial"/>
          <w:szCs w:val="20"/>
        </w:rPr>
      </w:pPr>
      <w:r w:rsidRPr="00C00FDD">
        <w:rPr>
          <w:rFonts w:cs="Arial"/>
          <w:szCs w:val="20"/>
        </w:rPr>
        <w:t xml:space="preserve">- permettre </w:t>
      </w:r>
      <w:r w:rsidRPr="00C00FDD">
        <w:rPr>
          <w:rFonts w:cs="Arial"/>
          <w:bCs/>
          <w:szCs w:val="20"/>
        </w:rPr>
        <w:t>d’établir l’état des masses d’eau</w:t>
      </w:r>
      <w:r w:rsidRPr="00C00FDD">
        <w:rPr>
          <w:rFonts w:cs="Arial"/>
          <w:szCs w:val="20"/>
        </w:rPr>
        <w:t xml:space="preserve"> (ME) comme risquant de ne pas atteindre leurs objectifs environnementaux </w:t>
      </w:r>
    </w:p>
    <w:p w:rsidR="00C00FDD" w:rsidRPr="00C00FDD" w:rsidRDefault="00C00FDD" w:rsidP="00C00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cs="Arial"/>
          <w:szCs w:val="20"/>
        </w:rPr>
      </w:pPr>
      <w:r w:rsidRPr="00C00FDD">
        <w:rPr>
          <w:rFonts w:cs="Arial"/>
          <w:szCs w:val="20"/>
        </w:rPr>
        <w:t xml:space="preserve">- et </w:t>
      </w:r>
      <w:r w:rsidRPr="00C00FDD">
        <w:rPr>
          <w:rFonts w:cs="Arial"/>
          <w:bCs/>
          <w:szCs w:val="20"/>
        </w:rPr>
        <w:t>d’évaluer les changements de l’état</w:t>
      </w:r>
      <w:r w:rsidRPr="00C00FDD">
        <w:rPr>
          <w:rFonts w:cs="Arial"/>
          <w:szCs w:val="20"/>
        </w:rPr>
        <w:t xml:space="preserve"> suite aux programmes de mesures</w:t>
      </w:r>
    </w:p>
    <w:p w:rsidR="00C00FDD" w:rsidRPr="00C00FDD" w:rsidRDefault="00C00FDD" w:rsidP="00C00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cs="Arial"/>
          <w:szCs w:val="20"/>
        </w:rPr>
      </w:pPr>
      <w:r w:rsidRPr="00C00FDD">
        <w:rPr>
          <w:rFonts w:cs="Arial"/>
          <w:szCs w:val="20"/>
        </w:rPr>
        <w:t xml:space="preserve">Un </w:t>
      </w:r>
      <w:r w:rsidR="00EF6454">
        <w:rPr>
          <w:rFonts w:cs="Arial"/>
          <w:b/>
          <w:szCs w:val="20"/>
        </w:rPr>
        <w:t>R</w:t>
      </w:r>
      <w:r w:rsidRPr="00C00FDD">
        <w:rPr>
          <w:rFonts w:cs="Arial"/>
          <w:b/>
          <w:szCs w:val="20"/>
        </w:rPr>
        <w:t xml:space="preserve">éseau </w:t>
      </w:r>
      <w:r w:rsidR="00EF6454">
        <w:rPr>
          <w:rFonts w:cs="Arial"/>
          <w:b/>
          <w:szCs w:val="20"/>
        </w:rPr>
        <w:t>C</w:t>
      </w:r>
      <w:r>
        <w:rPr>
          <w:rFonts w:cs="Arial"/>
          <w:b/>
          <w:szCs w:val="20"/>
        </w:rPr>
        <w:t>omplémentaire</w:t>
      </w:r>
      <w:r w:rsidRPr="00C00FDD">
        <w:rPr>
          <w:rFonts w:cs="Arial"/>
          <w:b/>
          <w:szCs w:val="20"/>
        </w:rPr>
        <w:t xml:space="preserve"> </w:t>
      </w:r>
      <w:r w:rsidR="00EF6454">
        <w:rPr>
          <w:rFonts w:cs="Arial"/>
          <w:b/>
          <w:szCs w:val="20"/>
        </w:rPr>
        <w:t xml:space="preserve">Agence </w:t>
      </w:r>
      <w:r w:rsidRPr="00C00FDD">
        <w:rPr>
          <w:rFonts w:cs="Arial"/>
          <w:szCs w:val="20"/>
        </w:rPr>
        <w:t>est mis en place pour le suivi des ME en respect (RCR).</w:t>
      </w:r>
    </w:p>
    <w:p w:rsidR="00C00FDD" w:rsidRPr="00C00FDD" w:rsidRDefault="00C00FDD" w:rsidP="00C00FDD">
      <w:pPr>
        <w:autoSpaceDE w:val="0"/>
        <w:autoSpaceDN w:val="0"/>
        <w:adjustRightInd w:val="0"/>
        <w:spacing w:before="0"/>
        <w:rPr>
          <w:rFonts w:cs="Arial"/>
          <w:szCs w:val="20"/>
        </w:rPr>
      </w:pPr>
    </w:p>
    <w:p w:rsidR="00C00FDD" w:rsidRPr="00C00FDD" w:rsidRDefault="00C00FDD" w:rsidP="00C00FDD">
      <w:pPr>
        <w:autoSpaceDE w:val="0"/>
        <w:autoSpaceDN w:val="0"/>
        <w:adjustRightInd w:val="0"/>
        <w:spacing w:before="0"/>
        <w:jc w:val="both"/>
      </w:pPr>
      <w:r w:rsidRPr="00C00FDD">
        <w:rPr>
          <w:rFonts w:cs="Arial"/>
          <w:szCs w:val="20"/>
        </w:rPr>
        <w:t>La mise à jour du PDS pour le prochain plan de gestion est motivée en premier lieu par la modification éventuelle</w:t>
      </w:r>
      <w:r w:rsidRPr="00C00FDD">
        <w:rPr>
          <w:rFonts w:cs="Arial"/>
        </w:rPr>
        <w:t xml:space="preserve"> des masses d’eau en risque entre les deux cycles. Les modifications du PDS porteront donc majoritairement</w:t>
      </w:r>
      <w:r w:rsidRPr="00C00FDD">
        <w:t xml:space="preserve"> sur le réseau de contrôle opérationnel (RCO). La révision de l’arrêté national du 17 octobre 2018 établissant le programme de surveillance de l’état des eaux est en cours. </w:t>
      </w:r>
    </w:p>
    <w:p w:rsidR="00C00FDD" w:rsidRPr="00C00FDD" w:rsidRDefault="00C00FDD" w:rsidP="00C00FDD">
      <w:pPr>
        <w:autoSpaceDE w:val="0"/>
        <w:autoSpaceDN w:val="0"/>
        <w:adjustRightInd w:val="0"/>
        <w:spacing w:before="0"/>
        <w:jc w:val="both"/>
      </w:pPr>
    </w:p>
    <w:p w:rsidR="00C00FDD" w:rsidRPr="00C00FDD" w:rsidRDefault="00C00FDD" w:rsidP="00C00FDD">
      <w:pPr>
        <w:autoSpaceDE w:val="0"/>
        <w:autoSpaceDN w:val="0"/>
        <w:adjustRightInd w:val="0"/>
        <w:spacing w:before="0"/>
        <w:jc w:val="both"/>
      </w:pPr>
      <w:r w:rsidRPr="00C00FDD">
        <w:t xml:space="preserve">Le programme de surveillance Loire-Bretagne se traduit par un arrêté de bassin au plus tard au 31 décembre 2021. </w:t>
      </w:r>
    </w:p>
    <w:p w:rsidR="00C00FDD" w:rsidRPr="00C00FDD" w:rsidRDefault="00C00FDD" w:rsidP="00C00FDD">
      <w:pPr>
        <w:rPr>
          <w:lang w:eastAsia="en-US"/>
        </w:rPr>
      </w:pPr>
    </w:p>
    <w:p w:rsidR="005735BE" w:rsidRDefault="005735BE" w:rsidP="005735BE">
      <w:pPr>
        <w:autoSpaceDE w:val="0"/>
        <w:autoSpaceDN w:val="0"/>
        <w:adjustRightInd w:val="0"/>
        <w:spacing w:before="0"/>
        <w:jc w:val="both"/>
      </w:pPr>
    </w:p>
    <w:p w:rsidR="005735BE" w:rsidRDefault="005735BE" w:rsidP="005735BE">
      <w:pPr>
        <w:autoSpaceDE w:val="0"/>
        <w:autoSpaceDN w:val="0"/>
        <w:adjustRightInd w:val="0"/>
        <w:spacing w:before="0"/>
        <w:jc w:val="both"/>
      </w:pPr>
    </w:p>
    <w:p w:rsidR="005735BE" w:rsidRDefault="005735BE" w:rsidP="005735BE">
      <w:pPr>
        <w:autoSpaceDE w:val="0"/>
        <w:autoSpaceDN w:val="0"/>
        <w:adjustRightInd w:val="0"/>
        <w:spacing w:before="0"/>
        <w:jc w:val="both"/>
      </w:pPr>
    </w:p>
    <w:p w:rsidR="005735BE" w:rsidRPr="00EF6454" w:rsidRDefault="005735BE" w:rsidP="005735BE">
      <w:pPr>
        <w:autoSpaceDE w:val="0"/>
        <w:autoSpaceDN w:val="0"/>
        <w:adjustRightInd w:val="0"/>
        <w:spacing w:before="0"/>
        <w:jc w:val="both"/>
        <w:rPr>
          <w:b/>
          <w:color w:val="000000" w:themeColor="text1"/>
        </w:rPr>
      </w:pPr>
      <w:r w:rsidRPr="00EF6454">
        <w:rPr>
          <w:color w:val="000000" w:themeColor="text1"/>
        </w:rPr>
        <w:t>L’état des lieux de 2013 avait dé</w:t>
      </w:r>
      <w:r w:rsidRPr="003450CE">
        <w:rPr>
          <w:color w:val="000000" w:themeColor="text1"/>
        </w:rPr>
        <w:t xml:space="preserve">fini </w:t>
      </w:r>
      <w:r w:rsidR="00071AB2">
        <w:rPr>
          <w:color w:val="000000" w:themeColor="text1"/>
        </w:rPr>
        <w:t>86</w:t>
      </w:r>
      <w:r w:rsidRPr="003450CE">
        <w:rPr>
          <w:color w:val="000000" w:themeColor="text1"/>
        </w:rPr>
        <w:t xml:space="preserve"> ME plans d’eau en risque pour 141 ME plans d’eau soit 55%. Le nouveau référentiel des ME </w:t>
      </w:r>
      <w:r w:rsidR="00C9139E">
        <w:rPr>
          <w:color w:val="000000" w:themeColor="text1"/>
        </w:rPr>
        <w:t>plan</w:t>
      </w:r>
      <w:r w:rsidRPr="003450CE">
        <w:rPr>
          <w:color w:val="000000" w:themeColor="text1"/>
        </w:rPr>
        <w:t xml:space="preserve"> d’eau compte </w:t>
      </w:r>
      <w:r w:rsidRPr="00C9139E">
        <w:rPr>
          <w:b/>
          <w:color w:val="000000" w:themeColor="text1"/>
        </w:rPr>
        <w:t>108 ME plan d’eau</w:t>
      </w:r>
      <w:r w:rsidRPr="003450CE">
        <w:rPr>
          <w:color w:val="000000" w:themeColor="text1"/>
        </w:rPr>
        <w:t xml:space="preserve"> (33 fusions/suppressions et 1 suppression/individualisation) dont </w:t>
      </w:r>
      <w:r w:rsidRPr="00C9139E">
        <w:rPr>
          <w:b/>
          <w:color w:val="000000" w:themeColor="text1"/>
        </w:rPr>
        <w:t>86 à pression significative cause de risque</w:t>
      </w:r>
      <w:r w:rsidRPr="003450CE">
        <w:rPr>
          <w:color w:val="000000" w:themeColor="text1"/>
        </w:rPr>
        <w:t xml:space="preserve"> (80 %). 60 (soit 70%) de ces plans d’eau étaient déjà précédemment en risque au cycle 2016-2021. </w:t>
      </w:r>
    </w:p>
    <w:p w:rsidR="00EF6454" w:rsidRPr="00C00FDD" w:rsidRDefault="00A65E36" w:rsidP="00C00FDD">
      <w:pPr>
        <w:rPr>
          <w:lang w:eastAsia="en-US"/>
        </w:rPr>
      </w:pPr>
      <w:r>
        <w:rPr>
          <w:lang w:eastAsia="en-US"/>
        </w:rPr>
        <w:t xml:space="preserve">Seules </w:t>
      </w:r>
      <w:r w:rsidR="00EF6454">
        <w:rPr>
          <w:lang w:eastAsia="en-US"/>
        </w:rPr>
        <w:t>5 des 26 ME nouvellement identifiées en risque ne dispose d’aucune donnée mesurée sur les quatre dernières années du cycle actuel (2018, 2019, 2020, 2021).</w:t>
      </w:r>
    </w:p>
    <w:p w:rsidR="00EF6454" w:rsidRPr="00EF6454" w:rsidRDefault="00EF6454" w:rsidP="00EF6454">
      <w:pPr>
        <w:keepNext/>
        <w:spacing w:before="240" w:after="60"/>
        <w:jc w:val="both"/>
        <w:outlineLvl w:val="1"/>
        <w:rPr>
          <w:rFonts w:cs="Arial"/>
          <w:b/>
          <w:bCs/>
          <w:i/>
          <w:iCs/>
          <w:sz w:val="28"/>
          <w:szCs w:val="28"/>
        </w:rPr>
      </w:pPr>
      <w:r w:rsidRPr="00EF6454">
        <w:rPr>
          <w:rFonts w:cs="Arial"/>
          <w:b/>
          <w:bCs/>
          <w:i/>
          <w:iCs/>
          <w:sz w:val="28"/>
          <w:szCs w:val="28"/>
        </w:rPr>
        <w:t>Mise en œuvre du prochain cycle de surveillance de bassin</w:t>
      </w:r>
    </w:p>
    <w:p w:rsidR="00EF6454" w:rsidRPr="00EF6454" w:rsidRDefault="00EF6454" w:rsidP="00EF6454">
      <w:pPr>
        <w:jc w:val="both"/>
      </w:pPr>
      <w:r w:rsidRPr="00EF6454">
        <w:t>La révision du CO doit répondre aux contraintes techniques imposées par les textes réglementaires et prendre en compte les contraintes financières en cette période de restriction budgétaire, ainsi que la capacité à faire de la totalité des opérateurs (DREAL, O</w:t>
      </w:r>
      <w:r>
        <w:t>FB</w:t>
      </w:r>
      <w:r w:rsidRPr="00EF6454">
        <w:t xml:space="preserve">, </w:t>
      </w:r>
      <w:r>
        <w:t>A</w:t>
      </w:r>
      <w:r w:rsidRPr="00EF6454">
        <w:t>gence de l’</w:t>
      </w:r>
      <w:r>
        <w:t>E</w:t>
      </w:r>
      <w:r w:rsidRPr="00EF6454">
        <w:t xml:space="preserve">au) et de leurs prestataires. </w:t>
      </w:r>
    </w:p>
    <w:p w:rsidR="00EF6454" w:rsidRPr="00EF6454" w:rsidRDefault="00EF6454" w:rsidP="00EF6454">
      <w:pPr>
        <w:jc w:val="both"/>
      </w:pPr>
      <w:r w:rsidRPr="00EF6454">
        <w:t xml:space="preserve">Les principales adaptations du programme de surveillance pour le cycle de surveillance 2022-2027 sont les suivantes : </w:t>
      </w:r>
    </w:p>
    <w:p w:rsidR="00EF6454" w:rsidRPr="00EF6454" w:rsidRDefault="00EF6454" w:rsidP="00EF6454">
      <w:pPr>
        <w:numPr>
          <w:ilvl w:val="0"/>
          <w:numId w:val="1"/>
        </w:numPr>
        <w:jc w:val="both"/>
      </w:pPr>
      <w:r w:rsidRPr="00EF6454">
        <w:t>Modification des stations RCO en fonction des nouvelles ME en risque (et par conséquence des stations du Réseau Complémentaire Agence sur les masses d’eau en respect).</w:t>
      </w:r>
    </w:p>
    <w:p w:rsidR="00B87068" w:rsidRDefault="00EF6454" w:rsidP="00AF2350">
      <w:pPr>
        <w:numPr>
          <w:ilvl w:val="0"/>
          <w:numId w:val="1"/>
        </w:numPr>
        <w:jc w:val="both"/>
        <w:rPr>
          <w:color w:val="000000" w:themeColor="text1"/>
        </w:rPr>
      </w:pPr>
      <w:r w:rsidRPr="00B87068">
        <w:rPr>
          <w:color w:val="000000" w:themeColor="text1"/>
        </w:rPr>
        <w:t xml:space="preserve">Introduction d’une nouvelle typologie de Plan d’Eau suite à la révision de l’arrêté national de surveillance. </w:t>
      </w:r>
      <w:r w:rsidR="0068516A" w:rsidRPr="00B87068">
        <w:rPr>
          <w:color w:val="000000" w:themeColor="text1"/>
        </w:rPr>
        <w:t>L’arrêté de bassin déclinera</w:t>
      </w:r>
      <w:r w:rsidR="006E5445" w:rsidRPr="00B87068">
        <w:rPr>
          <w:color w:val="000000" w:themeColor="text1"/>
        </w:rPr>
        <w:t xml:space="preserve"> la pertinence de suivi des EQB pour </w:t>
      </w:r>
      <w:r w:rsidR="00B91A37" w:rsidRPr="00B87068">
        <w:rPr>
          <w:color w:val="000000" w:themeColor="text1"/>
        </w:rPr>
        <w:t>chacun des 108</w:t>
      </w:r>
      <w:r w:rsidR="006E5445" w:rsidRPr="00B87068">
        <w:rPr>
          <w:color w:val="000000" w:themeColor="text1"/>
        </w:rPr>
        <w:t xml:space="preserve"> plan</w:t>
      </w:r>
      <w:r w:rsidR="00B91A37" w:rsidRPr="00B87068">
        <w:rPr>
          <w:color w:val="000000" w:themeColor="text1"/>
        </w:rPr>
        <w:t>s</w:t>
      </w:r>
      <w:r w:rsidR="006E5445" w:rsidRPr="00B87068">
        <w:rPr>
          <w:color w:val="000000" w:themeColor="text1"/>
        </w:rPr>
        <w:t xml:space="preserve"> d’eau </w:t>
      </w:r>
      <w:r w:rsidR="00B91A37" w:rsidRPr="00B87068">
        <w:rPr>
          <w:color w:val="000000" w:themeColor="text1"/>
        </w:rPr>
        <w:t xml:space="preserve">composant le </w:t>
      </w:r>
      <w:r w:rsidR="00816DF2" w:rsidRPr="00B87068">
        <w:rPr>
          <w:color w:val="000000" w:themeColor="text1"/>
        </w:rPr>
        <w:t>référentiel</w:t>
      </w:r>
      <w:r w:rsidR="00B91A37" w:rsidRPr="00B87068">
        <w:rPr>
          <w:color w:val="000000" w:themeColor="text1"/>
        </w:rPr>
        <w:t xml:space="preserve"> </w:t>
      </w:r>
      <w:r w:rsidR="006E5445" w:rsidRPr="00B87068">
        <w:rPr>
          <w:color w:val="000000" w:themeColor="text1"/>
        </w:rPr>
        <w:t xml:space="preserve">ainsi que les exceptions liées au </w:t>
      </w:r>
      <w:r w:rsidR="00B91A37" w:rsidRPr="00B87068">
        <w:rPr>
          <w:color w:val="000000" w:themeColor="text1"/>
        </w:rPr>
        <w:t>territoir</w:t>
      </w:r>
      <w:r w:rsidR="0068516A" w:rsidRPr="00B87068">
        <w:rPr>
          <w:color w:val="000000" w:themeColor="text1"/>
        </w:rPr>
        <w:t>e</w:t>
      </w:r>
      <w:r w:rsidR="00816DF2" w:rsidRPr="00B87068">
        <w:rPr>
          <w:color w:val="000000" w:themeColor="text1"/>
        </w:rPr>
        <w:t xml:space="preserve"> (</w:t>
      </w:r>
      <w:proofErr w:type="spellStart"/>
      <w:r w:rsidR="00816DF2" w:rsidRPr="00B87068">
        <w:rPr>
          <w:color w:val="000000" w:themeColor="text1"/>
        </w:rPr>
        <w:t>cf</w:t>
      </w:r>
      <w:proofErr w:type="spellEnd"/>
      <w:r w:rsidR="00816DF2" w:rsidRPr="00B87068">
        <w:rPr>
          <w:color w:val="000000" w:themeColor="text1"/>
        </w:rPr>
        <w:t xml:space="preserve"> annexe)</w:t>
      </w:r>
      <w:r w:rsidR="006E5445" w:rsidRPr="00B87068">
        <w:rPr>
          <w:color w:val="000000" w:themeColor="text1"/>
        </w:rPr>
        <w:t>.</w:t>
      </w:r>
    </w:p>
    <w:p w:rsidR="00AF2350" w:rsidRPr="00B87068" w:rsidRDefault="00AF2350" w:rsidP="00AF2350">
      <w:pPr>
        <w:numPr>
          <w:ilvl w:val="0"/>
          <w:numId w:val="1"/>
        </w:numPr>
        <w:jc w:val="both"/>
        <w:rPr>
          <w:color w:val="000000" w:themeColor="text1"/>
        </w:rPr>
      </w:pPr>
      <w:r w:rsidRPr="00B87068">
        <w:rPr>
          <w:color w:val="000000" w:themeColor="text1"/>
        </w:rPr>
        <w:t xml:space="preserve">Adaptation </w:t>
      </w:r>
      <w:r w:rsidR="00816DF2" w:rsidRPr="00B87068">
        <w:rPr>
          <w:color w:val="000000" w:themeColor="text1"/>
        </w:rPr>
        <w:t xml:space="preserve">en cours </w:t>
      </w:r>
      <w:r w:rsidRPr="00B87068">
        <w:rPr>
          <w:color w:val="000000" w:themeColor="text1"/>
        </w:rPr>
        <w:t>de la liste des polluants de l’état écologique (PSEE) (Nota : les listes des substances de l’état chimique ou leurs supports d’analyse, et les substances pertinentes à surveiller (SPAS) évoluent aussi)</w:t>
      </w:r>
    </w:p>
    <w:p w:rsidR="006E5445" w:rsidRDefault="008B27EE" w:rsidP="00EF6454">
      <w:pPr>
        <w:numPr>
          <w:ilvl w:val="0"/>
          <w:numId w:val="1"/>
        </w:numPr>
        <w:jc w:val="both"/>
      </w:pPr>
      <w:r>
        <w:t>Lissage interannuel de la volumétrie totale du cycle par élément de qualité.</w:t>
      </w:r>
      <w:r>
        <w:br/>
      </w:r>
      <w:r w:rsidR="0096284F">
        <w:t>Pour</w:t>
      </w:r>
      <w:r w:rsidR="000C7AA7">
        <w:t xml:space="preserve"> le cycle actuel (2016-2021), un effort de suivi avait été fait sur les deux premières années du cycle (2016, 2017) afin d’acquérir les données nécessaires à l’Etat des Lieux 2019. </w:t>
      </w:r>
      <w:r w:rsidR="0096284F">
        <w:t xml:space="preserve">Concernant le cycle 2022-2027, les données disponibles étant suffisantes, la volumétrie des éléments de qualité suivis a été lissée sur l’ensemble du cycle. </w:t>
      </w:r>
    </w:p>
    <w:p w:rsidR="00AF2350" w:rsidRDefault="00AF2350">
      <w:pPr>
        <w:spacing w:before="0" w:after="200" w:line="276" w:lineRule="auto"/>
      </w:pPr>
    </w:p>
    <w:p w:rsidR="00AF2350" w:rsidRDefault="00AF2350">
      <w:pPr>
        <w:spacing w:before="0" w:after="200" w:line="276" w:lineRule="auto"/>
      </w:pPr>
      <w:r w:rsidRPr="00AF2350">
        <w:rPr>
          <w:rFonts w:cs="Arial"/>
          <w:b/>
          <w:bCs/>
          <w:i/>
          <w:iCs/>
          <w:sz w:val="28"/>
          <w:szCs w:val="28"/>
        </w:rPr>
        <w:t>Constitution du programme de surveillance 2022-2027</w:t>
      </w:r>
      <w:r w:rsidRPr="000E22E1">
        <w:t> </w:t>
      </w:r>
    </w:p>
    <w:p w:rsidR="00C7576D" w:rsidRPr="00C7576D" w:rsidRDefault="00C7576D" w:rsidP="00C7576D">
      <w:pPr>
        <w:spacing w:before="240" w:after="60"/>
        <w:jc w:val="both"/>
        <w:outlineLvl w:val="1"/>
        <w:rPr>
          <w:rFonts w:cs="Arial"/>
          <w:bCs/>
          <w:iCs/>
          <w:sz w:val="22"/>
          <w:szCs w:val="22"/>
          <w:u w:val="single"/>
        </w:rPr>
      </w:pPr>
      <w:r w:rsidRPr="00C7576D">
        <w:rPr>
          <w:rFonts w:cs="Arial"/>
          <w:bCs/>
          <w:iCs/>
          <w:szCs w:val="20"/>
        </w:rPr>
        <w:t xml:space="preserve">Le programme de contrôle de surveillance présenté ci-après est conforme à l’arrêté dit « surveillance » du 17 octobre 2018 établissant le programme de surveillance de l'état des eaux en application de l'article R. 212-22 du code de l'environnement. </w:t>
      </w:r>
    </w:p>
    <w:p w:rsidR="00C7576D" w:rsidRPr="00C7576D" w:rsidRDefault="00C7576D" w:rsidP="00C7576D">
      <w:pPr>
        <w:keepNext/>
        <w:spacing w:before="240" w:after="60"/>
        <w:jc w:val="both"/>
        <w:outlineLvl w:val="1"/>
        <w:rPr>
          <w:rFonts w:cs="Arial"/>
          <w:bCs/>
          <w:iCs/>
          <w:sz w:val="22"/>
          <w:szCs w:val="22"/>
          <w:u w:val="single"/>
        </w:rPr>
      </w:pPr>
      <w:r w:rsidRPr="00C7576D">
        <w:rPr>
          <w:rFonts w:cs="Arial"/>
          <w:bCs/>
          <w:iCs/>
          <w:sz w:val="22"/>
          <w:szCs w:val="22"/>
          <w:u w:val="single"/>
        </w:rPr>
        <w:t>Stations du réseau de contrôle de surveillance (RCS)</w:t>
      </w:r>
    </w:p>
    <w:p w:rsidR="00C7576D" w:rsidRDefault="00C7576D" w:rsidP="00C7576D">
      <w:pPr>
        <w:rPr>
          <w:bCs/>
          <w:szCs w:val="20"/>
        </w:rPr>
      </w:pPr>
      <w:r>
        <w:rPr>
          <w:bCs/>
          <w:szCs w:val="20"/>
        </w:rPr>
        <w:t>Fréquences de suivi pour les 47PE composant le RCS :</w:t>
      </w:r>
    </w:p>
    <w:p w:rsidR="005B0EBD" w:rsidRDefault="005B0EBD" w:rsidP="00C7576D">
      <w:pPr>
        <w:rPr>
          <w:bCs/>
          <w:szCs w:val="20"/>
        </w:rPr>
      </w:pPr>
    </w:p>
    <w:tbl>
      <w:tblPr>
        <w:tblW w:w="6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495"/>
        <w:gridCol w:w="1905"/>
      </w:tblGrid>
      <w:tr w:rsidR="005B0EBD" w:rsidRPr="005B0EBD" w:rsidTr="007D1669">
        <w:trPr>
          <w:trHeight w:val="255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color w:val="000000"/>
                <w:szCs w:val="20"/>
              </w:rPr>
            </w:pPr>
            <w:r w:rsidRPr="005B0EBD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Fréquences par cycle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Fréquences annuelles</w:t>
            </w:r>
          </w:p>
        </w:tc>
      </w:tr>
      <w:tr w:rsidR="005B0EBD" w:rsidRPr="005B0EBD" w:rsidTr="007D1669">
        <w:trPr>
          <w:trHeight w:val="25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B0EBD" w:rsidRPr="005B0EBD" w:rsidTr="007D1669">
        <w:trPr>
          <w:trHeight w:val="51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Physico-chimie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  <w:t>Phytoplancton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2x/cycle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4x/an</w:t>
            </w:r>
          </w:p>
        </w:tc>
      </w:tr>
      <w:tr w:rsidR="005B0EBD" w:rsidRPr="005B0EBD" w:rsidTr="007D1669">
        <w:trPr>
          <w:trHeight w:val="76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Invertébrés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Macrophytes</w:t>
            </w:r>
            <w:proofErr w:type="spellEnd"/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Phytobenthos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2x/cycle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1x/an</w:t>
            </w:r>
          </w:p>
        </w:tc>
      </w:tr>
      <w:tr w:rsidR="005B0EBD" w:rsidRPr="005B0EBD" w:rsidTr="007D1669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Poissons</w:t>
            </w:r>
            <w:r w:rsidR="00DF5E60" w:rsidRPr="00DF5E60">
              <w:rPr>
                <w:rFonts w:cs="Arial"/>
                <w:b/>
                <w:bCs/>
                <w:color w:val="FF0000"/>
                <w:szCs w:val="20"/>
              </w:rPr>
              <w:t>*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1x/cycle</w:t>
            </w:r>
          </w:p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1x/an</w:t>
            </w:r>
          </w:p>
        </w:tc>
      </w:tr>
      <w:tr w:rsidR="005B0EBD" w:rsidRPr="005B0EBD" w:rsidTr="007D1669">
        <w:trPr>
          <w:trHeight w:val="43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5B0EBD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Bathymétrie</w:t>
            </w:r>
            <w:r w:rsidR="00DF5E60" w:rsidRPr="00DF5E60">
              <w:rPr>
                <w:rFonts w:cs="Arial"/>
                <w:b/>
                <w:bCs/>
                <w:color w:val="FF0000"/>
                <w:szCs w:val="20"/>
              </w:rPr>
              <w:t>*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Hydromorphologie</w:t>
            </w:r>
            <w:proofErr w:type="spellEnd"/>
            <w:r w:rsidR="00DF5E60" w:rsidRPr="00DF5E60">
              <w:rPr>
                <w:rFonts w:cs="Arial"/>
                <w:b/>
                <w:bCs/>
                <w:color w:val="FF0000"/>
                <w:szCs w:val="20"/>
              </w:rPr>
              <w:t>*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Default="005B0EBD" w:rsidP="005B0EBD">
            <w:pPr>
              <w:spacing w:before="0"/>
              <w:jc w:val="center"/>
              <w:rPr>
                <w:rFonts w:cs="Arial"/>
                <w:bCs/>
                <w:color w:val="000000"/>
                <w:szCs w:val="20"/>
              </w:rPr>
            </w:pPr>
          </w:p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1x/cycle</w:t>
            </w:r>
          </w:p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5B0EBD">
              <w:rPr>
                <w:rFonts w:cs="Arial"/>
                <w:bCs/>
                <w:color w:val="000000"/>
                <w:sz w:val="18"/>
                <w:szCs w:val="20"/>
              </w:rPr>
              <w:t>(si non réalisées au cycle précédent)</w:t>
            </w:r>
          </w:p>
          <w:p w:rsidR="005B0EBD" w:rsidRPr="005B0EBD" w:rsidRDefault="005B0EBD" w:rsidP="005B0EBD">
            <w:pPr>
              <w:spacing w:befor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BD" w:rsidRPr="005B0EBD" w:rsidRDefault="005B0EBD" w:rsidP="00DF5E60">
            <w:pPr>
              <w:keepNext/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1x/an</w:t>
            </w:r>
          </w:p>
        </w:tc>
      </w:tr>
    </w:tbl>
    <w:p w:rsidR="00DF5E60" w:rsidRDefault="00DF5E60" w:rsidP="00DF5E60">
      <w:pPr>
        <w:pStyle w:val="Lgende"/>
      </w:pPr>
      <w:r>
        <w:t xml:space="preserve">                      </w:t>
      </w:r>
      <w:r w:rsidRPr="00DF5E60">
        <w:rPr>
          <w:color w:val="FF0000"/>
        </w:rPr>
        <w:t xml:space="preserve"> * Suivis réalisés par l'OFB</w:t>
      </w:r>
    </w:p>
    <w:p w:rsidR="007D1669" w:rsidRPr="007D1669" w:rsidRDefault="00DF5E60" w:rsidP="007D1669">
      <w:pPr>
        <w:keepNext/>
        <w:spacing w:before="240" w:after="60"/>
        <w:jc w:val="both"/>
        <w:outlineLvl w:val="1"/>
        <w:rPr>
          <w:rFonts w:cs="Arial"/>
          <w:bCs/>
          <w:iCs/>
          <w:szCs w:val="20"/>
        </w:rPr>
      </w:pPr>
      <w:r>
        <w:rPr>
          <w:rFonts w:cs="Arial"/>
          <w:bCs/>
          <w:iCs/>
          <w:sz w:val="22"/>
          <w:szCs w:val="22"/>
          <w:u w:val="single"/>
        </w:rPr>
        <w:lastRenderedPageBreak/>
        <w:t>S</w:t>
      </w:r>
      <w:r w:rsidR="007D1669" w:rsidRPr="007D1669">
        <w:rPr>
          <w:rFonts w:cs="Arial"/>
          <w:bCs/>
          <w:iCs/>
          <w:sz w:val="22"/>
          <w:szCs w:val="22"/>
          <w:u w:val="single"/>
        </w:rPr>
        <w:t>tations du réseau de contrôle opérationnel (RCO)</w:t>
      </w:r>
    </w:p>
    <w:p w:rsidR="007D1669" w:rsidRDefault="007D1669" w:rsidP="007D1669">
      <w:pPr>
        <w:jc w:val="both"/>
      </w:pPr>
      <w:r w:rsidRPr="007D1669">
        <w:t xml:space="preserve">La liste des </w:t>
      </w:r>
      <w:r>
        <w:rPr>
          <w:b/>
        </w:rPr>
        <w:t>86</w:t>
      </w:r>
      <w:r w:rsidRPr="007D1669">
        <w:rPr>
          <w:b/>
        </w:rPr>
        <w:t xml:space="preserve"> </w:t>
      </w:r>
      <w:r>
        <w:rPr>
          <w:b/>
        </w:rPr>
        <w:t>PE</w:t>
      </w:r>
      <w:r w:rsidRPr="007D1669">
        <w:t xml:space="preserve"> du RCO </w:t>
      </w:r>
      <w:r w:rsidRPr="007D1669">
        <w:rPr>
          <w:b/>
        </w:rPr>
        <w:t>(</w:t>
      </w:r>
      <w:r>
        <w:rPr>
          <w:b/>
        </w:rPr>
        <w:t>48</w:t>
      </w:r>
      <w:r w:rsidRPr="007D1669">
        <w:rPr>
          <w:b/>
        </w:rPr>
        <w:t xml:space="preserve"> stations appartenant strictement au seul RCO : </w:t>
      </w:r>
      <w:r>
        <w:rPr>
          <w:b/>
        </w:rPr>
        <w:t>38</w:t>
      </w:r>
      <w:r w:rsidRPr="007D1669">
        <w:rPr>
          <w:b/>
        </w:rPr>
        <w:t xml:space="preserve"> </w:t>
      </w:r>
      <w:r>
        <w:rPr>
          <w:b/>
        </w:rPr>
        <w:t>PE</w:t>
      </w:r>
      <w:r w:rsidRPr="007D1669">
        <w:rPr>
          <w:b/>
        </w:rPr>
        <w:t xml:space="preserve"> étant à la fois RCO et/ou RCS)</w:t>
      </w:r>
      <w:r w:rsidRPr="007D1669">
        <w:t xml:space="preserve"> porte sur les masses d’eau cours d’eau en risque</w:t>
      </w:r>
      <w:r w:rsidRPr="007D1669">
        <w:rPr>
          <w:b/>
          <w:i/>
          <w:szCs w:val="20"/>
          <w:vertAlign w:val="superscript"/>
        </w:rPr>
        <w:footnoteReference w:id="1"/>
      </w:r>
      <w:r w:rsidRPr="007D1669">
        <w:t xml:space="preserve"> de non-respect des objectifs environnementaux. </w:t>
      </w:r>
    </w:p>
    <w:p w:rsidR="007D1669" w:rsidRPr="007D1669" w:rsidRDefault="007D1669" w:rsidP="007D1669">
      <w:pPr>
        <w:jc w:val="both"/>
      </w:pPr>
    </w:p>
    <w:tbl>
      <w:tblPr>
        <w:tblW w:w="6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495"/>
        <w:gridCol w:w="1905"/>
      </w:tblGrid>
      <w:tr w:rsidR="007D1669" w:rsidRPr="005B0EBD" w:rsidTr="007D1669">
        <w:trPr>
          <w:trHeight w:val="255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color w:val="000000"/>
                <w:szCs w:val="20"/>
              </w:rPr>
            </w:pPr>
            <w:r w:rsidRPr="005B0EBD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Fréquences par cycle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Fréquences annuelles</w:t>
            </w:r>
          </w:p>
        </w:tc>
      </w:tr>
      <w:tr w:rsidR="007D1669" w:rsidRPr="005B0EBD" w:rsidTr="007D1669">
        <w:trPr>
          <w:trHeight w:val="25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7D1669" w:rsidRPr="005B0EBD" w:rsidTr="007D1669">
        <w:trPr>
          <w:trHeight w:val="51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Physico-chimie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  <w:t>Phytoplancton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2x/cycle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4x/an</w:t>
            </w:r>
          </w:p>
        </w:tc>
      </w:tr>
      <w:tr w:rsidR="007D1669" w:rsidRPr="005B0EBD" w:rsidTr="007D1669">
        <w:trPr>
          <w:trHeight w:val="76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Invertébrés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Macrophytes</w:t>
            </w:r>
            <w:proofErr w:type="spellEnd"/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Phytobenthos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2x/cycle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1x/an</w:t>
            </w:r>
          </w:p>
        </w:tc>
      </w:tr>
      <w:tr w:rsidR="007D1669" w:rsidRPr="005B0EBD" w:rsidTr="007D1669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Poissons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1x/cycle</w:t>
            </w:r>
          </w:p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1x/an</w:t>
            </w:r>
          </w:p>
        </w:tc>
      </w:tr>
      <w:tr w:rsidR="007D1669" w:rsidRPr="005B0EBD" w:rsidTr="007D1669">
        <w:trPr>
          <w:trHeight w:val="43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Bathymétrie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Hydromorphologie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Default="007D1669" w:rsidP="001341D2">
            <w:pPr>
              <w:spacing w:before="0"/>
              <w:jc w:val="center"/>
              <w:rPr>
                <w:rFonts w:cs="Arial"/>
                <w:bCs/>
                <w:color w:val="000000"/>
                <w:szCs w:val="20"/>
              </w:rPr>
            </w:pPr>
          </w:p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1x/cycle</w:t>
            </w:r>
          </w:p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5B0EBD">
              <w:rPr>
                <w:rFonts w:cs="Arial"/>
                <w:bCs/>
                <w:color w:val="000000"/>
                <w:sz w:val="18"/>
                <w:szCs w:val="20"/>
              </w:rPr>
              <w:t>(si non réalisées au cycle précédent)</w:t>
            </w:r>
          </w:p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669" w:rsidRPr="005B0EBD" w:rsidRDefault="007D1669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1x/an</w:t>
            </w:r>
          </w:p>
        </w:tc>
      </w:tr>
    </w:tbl>
    <w:p w:rsidR="00C7576D" w:rsidRDefault="00C7576D" w:rsidP="00C7576D">
      <w:pPr>
        <w:rPr>
          <w:bCs/>
          <w:szCs w:val="20"/>
        </w:rPr>
      </w:pPr>
    </w:p>
    <w:p w:rsidR="00C7576D" w:rsidRDefault="00C7576D" w:rsidP="00C7576D">
      <w:pPr>
        <w:rPr>
          <w:bCs/>
          <w:szCs w:val="20"/>
        </w:rPr>
      </w:pPr>
    </w:p>
    <w:p w:rsidR="007D1669" w:rsidRDefault="007D1669" w:rsidP="007D1669">
      <w:pPr>
        <w:keepNext/>
        <w:spacing w:before="240" w:after="60"/>
        <w:jc w:val="both"/>
        <w:outlineLvl w:val="1"/>
        <w:rPr>
          <w:rFonts w:cs="Arial"/>
          <w:bCs/>
          <w:iCs/>
          <w:sz w:val="22"/>
          <w:szCs w:val="22"/>
          <w:u w:val="single"/>
        </w:rPr>
      </w:pPr>
      <w:r w:rsidRPr="007D1669">
        <w:rPr>
          <w:rFonts w:cs="Arial"/>
          <w:bCs/>
          <w:iCs/>
          <w:sz w:val="22"/>
          <w:szCs w:val="22"/>
          <w:u w:val="single"/>
        </w:rPr>
        <w:t xml:space="preserve">Stations du réseau </w:t>
      </w:r>
      <w:r>
        <w:rPr>
          <w:rFonts w:cs="Arial"/>
          <w:bCs/>
          <w:iCs/>
          <w:sz w:val="22"/>
          <w:szCs w:val="22"/>
          <w:u w:val="single"/>
        </w:rPr>
        <w:t>complémentaire agence (RCR)</w:t>
      </w:r>
    </w:p>
    <w:p w:rsidR="007D1669" w:rsidRDefault="002E683C" w:rsidP="007D1669">
      <w:pPr>
        <w:keepNext/>
        <w:spacing w:before="240" w:after="60"/>
        <w:jc w:val="both"/>
        <w:outlineLvl w:val="1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Bien qu’a</w:t>
      </w:r>
      <w:r w:rsidR="007D1669">
        <w:rPr>
          <w:rFonts w:cs="Arial"/>
          <w:bCs/>
          <w:iCs/>
          <w:sz w:val="22"/>
          <w:szCs w:val="22"/>
        </w:rPr>
        <w:t>ucun suivi n</w:t>
      </w:r>
      <w:r>
        <w:rPr>
          <w:rFonts w:cs="Arial"/>
          <w:bCs/>
          <w:iCs/>
          <w:sz w:val="22"/>
          <w:szCs w:val="22"/>
        </w:rPr>
        <w:t>e soit</w:t>
      </w:r>
      <w:r w:rsidR="007D1669">
        <w:rPr>
          <w:rFonts w:cs="Arial"/>
          <w:bCs/>
          <w:iCs/>
          <w:sz w:val="22"/>
          <w:szCs w:val="22"/>
        </w:rPr>
        <w:t xml:space="preserve"> exigé </w:t>
      </w:r>
      <w:r>
        <w:rPr>
          <w:rFonts w:cs="Arial"/>
          <w:bCs/>
          <w:iCs/>
          <w:sz w:val="22"/>
          <w:szCs w:val="22"/>
        </w:rPr>
        <w:t>par l’arrêté de surveillance sur</w:t>
      </w:r>
      <w:r w:rsidR="007D1669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>les ME identifiées en respect, une veille sera réalisée sur les 13 PE concernés sur le bassin</w:t>
      </w:r>
      <w:r w:rsidR="00071AB2">
        <w:rPr>
          <w:rFonts w:cs="Arial"/>
          <w:bCs/>
          <w:iCs/>
          <w:sz w:val="22"/>
          <w:szCs w:val="22"/>
        </w:rPr>
        <w:t xml:space="preserve"> Loire Bretagne</w:t>
      </w:r>
      <w:r>
        <w:rPr>
          <w:rFonts w:cs="Arial"/>
          <w:bCs/>
          <w:iCs/>
          <w:sz w:val="22"/>
          <w:szCs w:val="22"/>
        </w:rPr>
        <w:t xml:space="preserve">. </w:t>
      </w:r>
      <w:r w:rsidR="00596153">
        <w:rPr>
          <w:rFonts w:cs="Arial"/>
          <w:bCs/>
          <w:iCs/>
          <w:sz w:val="22"/>
          <w:szCs w:val="22"/>
        </w:rPr>
        <w:br/>
      </w:r>
      <w:r>
        <w:rPr>
          <w:rFonts w:cs="Arial"/>
          <w:bCs/>
          <w:iCs/>
          <w:sz w:val="22"/>
          <w:szCs w:val="22"/>
        </w:rPr>
        <w:t xml:space="preserve">Les évolutions relatives à la morphologie des plans d’eau et aux peuplements piscicoles n’étant </w:t>
      </w:r>
      <w:r w:rsidR="00596153">
        <w:rPr>
          <w:rFonts w:cs="Arial"/>
          <w:bCs/>
          <w:iCs/>
          <w:sz w:val="22"/>
          <w:szCs w:val="22"/>
        </w:rPr>
        <w:t>perceptibles</w:t>
      </w:r>
      <w:r>
        <w:rPr>
          <w:rFonts w:cs="Arial"/>
          <w:bCs/>
          <w:iCs/>
          <w:sz w:val="22"/>
          <w:szCs w:val="22"/>
        </w:rPr>
        <w:t xml:space="preserve"> que sur le long terme</w:t>
      </w:r>
      <w:r w:rsidR="00596153">
        <w:rPr>
          <w:rFonts w:cs="Arial"/>
          <w:bCs/>
          <w:iCs/>
          <w:sz w:val="22"/>
          <w:szCs w:val="22"/>
        </w:rPr>
        <w:t>, ces suivis n’apparaissent pas nécessaires sur le RCR.</w:t>
      </w:r>
    </w:p>
    <w:p w:rsidR="002E683C" w:rsidRPr="007D1669" w:rsidRDefault="002E683C" w:rsidP="007D1669">
      <w:pPr>
        <w:keepNext/>
        <w:spacing w:before="240" w:after="60"/>
        <w:jc w:val="both"/>
        <w:outlineLvl w:val="1"/>
        <w:rPr>
          <w:rFonts w:cs="Arial"/>
          <w:bCs/>
          <w:iCs/>
          <w:szCs w:val="20"/>
        </w:rPr>
      </w:pPr>
    </w:p>
    <w:tbl>
      <w:tblPr>
        <w:tblW w:w="6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495"/>
        <w:gridCol w:w="1905"/>
      </w:tblGrid>
      <w:tr w:rsidR="002E683C" w:rsidRPr="005B0EBD" w:rsidTr="001341D2">
        <w:trPr>
          <w:trHeight w:val="255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color w:val="000000"/>
                <w:szCs w:val="20"/>
              </w:rPr>
            </w:pPr>
            <w:r w:rsidRPr="005B0EBD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Fréquences par cycle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Fréquences annuelles</w:t>
            </w:r>
          </w:p>
        </w:tc>
      </w:tr>
      <w:tr w:rsidR="002E683C" w:rsidRPr="005B0EBD" w:rsidTr="001341D2">
        <w:trPr>
          <w:trHeight w:val="25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2E683C" w:rsidRPr="005B0EBD" w:rsidTr="001341D2">
        <w:trPr>
          <w:trHeight w:val="51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Physico-chimie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  <w:t>Phytoplancton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t>x/cycle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4x/an</w:t>
            </w:r>
          </w:p>
        </w:tc>
      </w:tr>
      <w:tr w:rsidR="002E683C" w:rsidRPr="005B0EBD" w:rsidTr="001341D2">
        <w:trPr>
          <w:trHeight w:val="76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Invertébrés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Macrophytes</w:t>
            </w:r>
            <w:proofErr w:type="spellEnd"/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Phytobenthos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Pr="005B0EBD">
              <w:rPr>
                <w:rFonts w:cs="Arial"/>
                <w:b/>
                <w:color w:val="000000"/>
                <w:szCs w:val="20"/>
              </w:rPr>
              <w:t>x/cycle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0EBD">
              <w:rPr>
                <w:rFonts w:cs="Arial"/>
                <w:b/>
                <w:color w:val="000000"/>
                <w:szCs w:val="20"/>
              </w:rPr>
              <w:t>1x/an</w:t>
            </w:r>
          </w:p>
        </w:tc>
      </w:tr>
      <w:tr w:rsidR="002E683C" w:rsidRPr="005B0EBD" w:rsidTr="001341D2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Poissons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0</w:t>
            </w:r>
          </w:p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610FA6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0</w:t>
            </w:r>
          </w:p>
        </w:tc>
      </w:tr>
      <w:tr w:rsidR="002E683C" w:rsidRPr="005B0EBD" w:rsidTr="001341D2">
        <w:trPr>
          <w:trHeight w:val="43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2E683C" w:rsidP="001341D2">
            <w:pPr>
              <w:spacing w:before="0"/>
              <w:rPr>
                <w:rFonts w:cs="Arial"/>
                <w:b/>
                <w:bCs/>
                <w:color w:val="000000"/>
                <w:szCs w:val="20"/>
              </w:rPr>
            </w:pPr>
            <w:r w:rsidRPr="005B0EBD">
              <w:rPr>
                <w:rFonts w:cs="Arial"/>
                <w:b/>
                <w:bCs/>
                <w:color w:val="000000"/>
                <w:szCs w:val="20"/>
              </w:rPr>
              <w:t>Bathymétrie</w:t>
            </w:r>
            <w:r w:rsidRPr="005B0EBD">
              <w:rPr>
                <w:rFonts w:cs="Arial"/>
                <w:b/>
                <w:bCs/>
                <w:color w:val="000000"/>
                <w:szCs w:val="20"/>
              </w:rPr>
              <w:br/>
            </w:r>
            <w:proofErr w:type="spellStart"/>
            <w:r w:rsidRPr="005B0EBD">
              <w:rPr>
                <w:rFonts w:cs="Arial"/>
                <w:b/>
                <w:bCs/>
                <w:color w:val="000000"/>
                <w:szCs w:val="20"/>
              </w:rPr>
              <w:t>Hydromorphologie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Default="002E683C" w:rsidP="001341D2">
            <w:pPr>
              <w:spacing w:before="0"/>
              <w:jc w:val="center"/>
              <w:rPr>
                <w:rFonts w:cs="Arial"/>
                <w:bCs/>
                <w:color w:val="000000"/>
                <w:szCs w:val="20"/>
              </w:rPr>
            </w:pPr>
          </w:p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b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0</w:t>
            </w:r>
          </w:p>
          <w:p w:rsidR="002E683C" w:rsidRPr="005B0EBD" w:rsidRDefault="002E683C" w:rsidP="001341D2">
            <w:pPr>
              <w:spacing w:befor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83C" w:rsidRPr="005B0EBD" w:rsidRDefault="00610FA6" w:rsidP="001341D2">
            <w:pPr>
              <w:spacing w:before="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0</w:t>
            </w:r>
          </w:p>
        </w:tc>
      </w:tr>
    </w:tbl>
    <w:p w:rsidR="00C7576D" w:rsidRDefault="00C7576D" w:rsidP="00C7576D">
      <w:pPr>
        <w:rPr>
          <w:bCs/>
          <w:szCs w:val="20"/>
        </w:rPr>
      </w:pPr>
    </w:p>
    <w:p w:rsidR="00C7576D" w:rsidRPr="00C7576D" w:rsidRDefault="00C7576D" w:rsidP="00C7576D">
      <w:pPr>
        <w:rPr>
          <w:szCs w:val="20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3450CE" w:rsidP="0068516A">
      <w:pPr>
        <w:jc w:val="center"/>
        <w:rPr>
          <w:b/>
          <w:i/>
          <w:sz w:val="28"/>
          <w:szCs w:val="28"/>
        </w:rPr>
      </w:pPr>
      <w:r w:rsidRPr="003450CE">
        <w:rPr>
          <w:b/>
          <w:i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CA90C" wp14:editId="140DF4CC">
                <wp:simplePos x="0" y="0"/>
                <wp:positionH relativeFrom="column">
                  <wp:posOffset>-123618</wp:posOffset>
                </wp:positionH>
                <wp:positionV relativeFrom="paragraph">
                  <wp:posOffset>-208679</wp:posOffset>
                </wp:positionV>
                <wp:extent cx="6092426" cy="4050591"/>
                <wp:effectExtent l="0" t="0" r="22860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426" cy="4050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0CE" w:rsidRDefault="003450CE" w:rsidP="003450CE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8"/>
                              </w:rPr>
                            </w:pPr>
                            <w:r w:rsidRPr="00596153">
                              <w:rPr>
                                <w:b/>
                                <w:i/>
                                <w:sz w:val="22"/>
                                <w:szCs w:val="28"/>
                              </w:rPr>
                              <w:t>Exceptions de suivi du programme de surveillance</w:t>
                            </w:r>
                          </w:p>
                          <w:p w:rsidR="003450CE" w:rsidRPr="003450CE" w:rsidRDefault="003450CE" w:rsidP="003450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>Exceptions générales</w:t>
                            </w:r>
                          </w:p>
                          <w:p w:rsidR="003450CE" w:rsidRPr="003450CE" w:rsidRDefault="003450CE" w:rsidP="003450CE">
                            <w:pPr>
                              <w:ind w:left="360"/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>3 exceptions ont été introduites lors de la révision de l’arrêté de surveillance sur le suivi de l’ensemble des PE :</w:t>
                            </w:r>
                          </w:p>
                          <w:p w:rsidR="003450CE" w:rsidRPr="003450CE" w:rsidRDefault="003450CE" w:rsidP="003450C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Pour l’ensemble des types, les </w:t>
                            </w:r>
                            <w:proofErr w:type="spellStart"/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>macrophytes</w:t>
                            </w:r>
                            <w:proofErr w:type="spellEnd"/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et diatomées ne sont pas pertinents si le plan d’eau est soumis à fort marnage (supérieur à deux mètres) ou pour les retenues de plaine, à gestion hydraulique contrôlée sans vidange (p. ex. plans d’eau issus de zones humides transformées et gérées pour l’exploitation de ressources aquatiques).</w:t>
                            </w:r>
                          </w:p>
                          <w:p w:rsidR="003450CE" w:rsidRPr="003450CE" w:rsidRDefault="003450CE" w:rsidP="003450CE">
                            <w:pPr>
                              <w:pStyle w:val="Paragraphedeliste"/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</w:p>
                          <w:p w:rsidR="003450CE" w:rsidRPr="003450CE" w:rsidRDefault="003450CE" w:rsidP="003450C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Pour l’ensemble des types, les poissons, </w:t>
                            </w:r>
                            <w:proofErr w:type="spellStart"/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>macrophytes</w:t>
                            </w:r>
                            <w:proofErr w:type="spellEnd"/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et diatomées ne sont pas pertinents si le plan d’eau est vidangé à intervalles réguliers (p. ex. plans d’eau de pisciculture).</w:t>
                            </w: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br/>
                            </w:r>
                          </w:p>
                          <w:p w:rsidR="003450CE" w:rsidRPr="003450CE" w:rsidRDefault="003450CE" w:rsidP="003450C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Pour l’ensemble des types, les poissons ne sont pas pertinents si le plan d’eau est à une altitude supérieure à 1200m."</w:t>
                            </w:r>
                          </w:p>
                          <w:p w:rsidR="003450CE" w:rsidRPr="004A08C9" w:rsidRDefault="003450CE" w:rsidP="003450CE">
                            <w:pPr>
                              <w:pStyle w:val="Paragraphedeliste"/>
                              <w:rPr>
                                <w:b/>
                                <w:i/>
                                <w:sz w:val="22"/>
                                <w:szCs w:val="28"/>
                              </w:rPr>
                            </w:pPr>
                          </w:p>
                          <w:p w:rsidR="003450CE" w:rsidRPr="003450CE" w:rsidRDefault="003450CE" w:rsidP="003450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Exceptions </w:t>
                            </w:r>
                            <w:r>
                              <w:rPr>
                                <w:i/>
                                <w:sz w:val="22"/>
                                <w:szCs w:val="28"/>
                              </w:rPr>
                              <w:t>ponctuelles</w:t>
                            </w:r>
                          </w:p>
                          <w:p w:rsidR="003450CE" w:rsidRPr="003450CE" w:rsidRDefault="003450CE" w:rsidP="003450CE">
                            <w:pPr>
                              <w:jc w:val="center"/>
                              <w:rPr>
                                <w:i/>
                                <w:sz w:val="22"/>
                                <w:szCs w:val="28"/>
                              </w:rPr>
                            </w:pP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Des exceptions ponctuelles ont été définies </w:t>
                            </w:r>
                            <w:r>
                              <w:rPr>
                                <w:i/>
                                <w:sz w:val="22"/>
                                <w:szCs w:val="28"/>
                              </w:rPr>
                              <w:t xml:space="preserve">sur le bassin </w:t>
                            </w: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>suite au</w:t>
                            </w:r>
                            <w:r w:rsidR="00472EDF">
                              <w:rPr>
                                <w:i/>
                                <w:sz w:val="22"/>
                                <w:szCs w:val="28"/>
                              </w:rPr>
                              <w:t>x</w:t>
                            </w: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suivi</w:t>
                            </w:r>
                            <w:r w:rsidR="00472EDF">
                              <w:rPr>
                                <w:i/>
                                <w:sz w:val="22"/>
                                <w:szCs w:val="28"/>
                              </w:rPr>
                              <w:t>s</w:t>
                            </w:r>
                            <w:r w:rsidRPr="003450CE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des cycles antérieurs et aux observations réalisées sur le terrain.</w:t>
                            </w:r>
                          </w:p>
                          <w:p w:rsidR="003450CE" w:rsidRDefault="00345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75pt;margin-top:-16.45pt;width:479.7pt;height:3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">
                <v:textbox>
                  <w:txbxContent>
                    <w:p w:rsidR="003450CE" w:rsidRDefault="003450CE" w:rsidP="003450CE">
                      <w:pPr>
                        <w:jc w:val="center"/>
                        <w:rPr>
                          <w:b/>
                          <w:i/>
                          <w:sz w:val="22"/>
                          <w:szCs w:val="28"/>
                        </w:rPr>
                      </w:pPr>
                      <w:r w:rsidRPr="00596153">
                        <w:rPr>
                          <w:b/>
                          <w:i/>
                          <w:sz w:val="22"/>
                          <w:szCs w:val="28"/>
                        </w:rPr>
                        <w:t>Exceptions de suivi du programme de surveillance</w:t>
                      </w:r>
                    </w:p>
                    <w:p w:rsidR="003450CE" w:rsidRPr="003450CE" w:rsidRDefault="003450CE" w:rsidP="003450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>Exceptions générales</w:t>
                      </w:r>
                    </w:p>
                    <w:p w:rsidR="003450CE" w:rsidRPr="003450CE" w:rsidRDefault="003450CE" w:rsidP="003450CE">
                      <w:pPr>
                        <w:ind w:left="360"/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>3 exceptions ont été introduites lors de la révision de l’arrêté de surveillance sur le suivi de l’ensemble des PE :</w:t>
                      </w:r>
                    </w:p>
                    <w:p w:rsidR="003450CE" w:rsidRPr="003450CE" w:rsidRDefault="003450CE" w:rsidP="003450C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Pour l’ensemble des types, les </w:t>
                      </w:r>
                      <w:proofErr w:type="spellStart"/>
                      <w:r w:rsidRPr="003450CE">
                        <w:rPr>
                          <w:i/>
                          <w:sz w:val="22"/>
                          <w:szCs w:val="28"/>
                        </w:rPr>
                        <w:t>macrophytes</w:t>
                      </w:r>
                      <w:proofErr w:type="spellEnd"/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et diatomées ne sont pas pertinents si le plan d’eau est soumis à fort marnage (supérieur à deux mètres) ou pour les retenues de plaine, à gestion hydraulique contrôlée sans vidange (p. ex. plans d’eau issus de zones humides transformées et gérées pour l’exploitation de ressources aquatiques).</w:t>
                      </w:r>
                    </w:p>
                    <w:p w:rsidR="003450CE" w:rsidRPr="003450CE" w:rsidRDefault="003450CE" w:rsidP="003450CE">
                      <w:pPr>
                        <w:pStyle w:val="Paragraphedeliste"/>
                        <w:rPr>
                          <w:i/>
                          <w:sz w:val="22"/>
                          <w:szCs w:val="28"/>
                        </w:rPr>
                      </w:pPr>
                    </w:p>
                    <w:p w:rsidR="003450CE" w:rsidRPr="003450CE" w:rsidRDefault="003450CE" w:rsidP="003450C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Pour l’ensemble des types, les poissons, </w:t>
                      </w:r>
                      <w:proofErr w:type="spellStart"/>
                      <w:r w:rsidRPr="003450CE">
                        <w:rPr>
                          <w:i/>
                          <w:sz w:val="22"/>
                          <w:szCs w:val="28"/>
                        </w:rPr>
                        <w:t>macrophytes</w:t>
                      </w:r>
                      <w:proofErr w:type="spellEnd"/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et diatomées ne sont pas pertinents si le plan d’eau est vidangé à intervalles réguliers (p. ex. plans d’eau de pisciculture).</w:t>
                      </w:r>
                      <w:r w:rsidRPr="003450CE">
                        <w:rPr>
                          <w:i/>
                          <w:sz w:val="22"/>
                          <w:szCs w:val="28"/>
                        </w:rPr>
                        <w:br/>
                      </w:r>
                    </w:p>
                    <w:p w:rsidR="003450CE" w:rsidRPr="003450CE" w:rsidRDefault="003450CE" w:rsidP="003450C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Pour l’ensemble des types, les poissons ne sont pas pertinents si le plan d’eau est à une altitude supérieure à 1200m."</w:t>
                      </w:r>
                    </w:p>
                    <w:p w:rsidR="003450CE" w:rsidRPr="004A08C9" w:rsidRDefault="003450CE" w:rsidP="003450CE">
                      <w:pPr>
                        <w:pStyle w:val="Paragraphedeliste"/>
                        <w:rPr>
                          <w:b/>
                          <w:i/>
                          <w:sz w:val="22"/>
                          <w:szCs w:val="28"/>
                        </w:rPr>
                      </w:pPr>
                    </w:p>
                    <w:p w:rsidR="003450CE" w:rsidRPr="003450CE" w:rsidRDefault="003450CE" w:rsidP="003450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Exceptions </w:t>
                      </w:r>
                      <w:r>
                        <w:rPr>
                          <w:i/>
                          <w:sz w:val="22"/>
                          <w:szCs w:val="28"/>
                        </w:rPr>
                        <w:t>ponctuelles</w:t>
                      </w:r>
                    </w:p>
                    <w:p w:rsidR="003450CE" w:rsidRPr="003450CE" w:rsidRDefault="003450CE" w:rsidP="003450CE">
                      <w:pPr>
                        <w:jc w:val="center"/>
                        <w:rPr>
                          <w:i/>
                          <w:sz w:val="22"/>
                          <w:szCs w:val="28"/>
                        </w:rPr>
                      </w:pP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Des exceptions ponctuelles ont été définies </w:t>
                      </w:r>
                      <w:r>
                        <w:rPr>
                          <w:i/>
                          <w:sz w:val="22"/>
                          <w:szCs w:val="28"/>
                        </w:rPr>
                        <w:t xml:space="preserve">sur le bassin </w:t>
                      </w:r>
                      <w:r w:rsidRPr="003450CE">
                        <w:rPr>
                          <w:i/>
                          <w:sz w:val="22"/>
                          <w:szCs w:val="28"/>
                        </w:rPr>
                        <w:t>suite au</w:t>
                      </w:r>
                      <w:r w:rsidR="00472EDF">
                        <w:rPr>
                          <w:i/>
                          <w:sz w:val="22"/>
                          <w:szCs w:val="28"/>
                        </w:rPr>
                        <w:t>x</w:t>
                      </w: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suivi</w:t>
                      </w:r>
                      <w:r w:rsidR="00472EDF">
                        <w:rPr>
                          <w:i/>
                          <w:sz w:val="22"/>
                          <w:szCs w:val="28"/>
                        </w:rPr>
                        <w:t>s</w:t>
                      </w:r>
                      <w:r w:rsidRPr="003450CE">
                        <w:rPr>
                          <w:i/>
                          <w:sz w:val="22"/>
                          <w:szCs w:val="28"/>
                        </w:rPr>
                        <w:t xml:space="preserve"> des cycles antérieurs et aux observations réalisées sur le terrain.</w:t>
                      </w:r>
                    </w:p>
                    <w:p w:rsidR="003450CE" w:rsidRDefault="003450CE"/>
                  </w:txbxContent>
                </v:textbox>
              </v:shape>
            </w:pict>
          </mc:Fallback>
        </mc:AlternateContent>
      </w: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Pr="00DF5E60" w:rsidRDefault="00DF5E60" w:rsidP="0068516A">
      <w:pPr>
        <w:jc w:val="center"/>
        <w:rPr>
          <w:szCs w:val="28"/>
        </w:rPr>
      </w:pPr>
      <w:r w:rsidRPr="00DF5E60">
        <w:rPr>
          <w:szCs w:val="28"/>
        </w:rPr>
        <w:t>Pour l’ensemble des PE suivis</w:t>
      </w:r>
      <w:r w:rsidR="00D200E8">
        <w:rPr>
          <w:szCs w:val="28"/>
        </w:rPr>
        <w:t xml:space="preserve"> (tous réseaux confondus)</w:t>
      </w:r>
      <w:r w:rsidRPr="00DF5E60">
        <w:rPr>
          <w:szCs w:val="28"/>
        </w:rPr>
        <w:t>, la volumétrie annue</w:t>
      </w:r>
      <w:r w:rsidR="00D200E8">
        <w:rPr>
          <w:szCs w:val="28"/>
        </w:rPr>
        <w:t>lle des éléments de qualité suiv</w:t>
      </w:r>
      <w:r w:rsidRPr="00DF5E60">
        <w:rPr>
          <w:szCs w:val="28"/>
        </w:rPr>
        <w:t>i</w:t>
      </w:r>
      <w:r w:rsidR="00D200E8">
        <w:rPr>
          <w:szCs w:val="28"/>
        </w:rPr>
        <w:t>s</w:t>
      </w:r>
      <w:r w:rsidRPr="00DF5E60">
        <w:rPr>
          <w:szCs w:val="28"/>
        </w:rPr>
        <w:t xml:space="preserve"> est détaillée ci-dessous :</w:t>
      </w:r>
    </w:p>
    <w:p w:rsidR="007D1669" w:rsidRDefault="00DF5E60" w:rsidP="0068516A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556EC0D" wp14:editId="3A5CB304">
            <wp:extent cx="5760720" cy="2909758"/>
            <wp:effectExtent l="0" t="0" r="11430" b="2413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7D1669" w:rsidRDefault="007D1669" w:rsidP="0068516A">
      <w:pPr>
        <w:jc w:val="center"/>
        <w:rPr>
          <w:b/>
          <w:i/>
          <w:sz w:val="28"/>
          <w:szCs w:val="28"/>
        </w:rPr>
      </w:pPr>
    </w:p>
    <w:p w:rsidR="00DF5E60" w:rsidRPr="00DF5E60" w:rsidRDefault="00DF5E60" w:rsidP="00DF5E60">
      <w:pPr>
        <w:keepNext/>
        <w:spacing w:before="480" w:after="120"/>
        <w:jc w:val="both"/>
        <w:outlineLvl w:val="1"/>
        <w:rPr>
          <w:rFonts w:cs="Arial"/>
          <w:b/>
          <w:bCs/>
          <w:i/>
          <w:iCs/>
          <w:sz w:val="28"/>
          <w:szCs w:val="28"/>
        </w:rPr>
      </w:pPr>
      <w:r w:rsidRPr="00DF5E60">
        <w:rPr>
          <w:rFonts w:cs="Arial"/>
          <w:b/>
          <w:bCs/>
          <w:i/>
          <w:iCs/>
          <w:sz w:val="28"/>
          <w:szCs w:val="28"/>
        </w:rPr>
        <w:lastRenderedPageBreak/>
        <w:t>Programme prévisionnel détaillé à la station des réseaux RCS, RCO et RC</w:t>
      </w:r>
      <w:r>
        <w:rPr>
          <w:rFonts w:cs="Arial"/>
          <w:b/>
          <w:bCs/>
          <w:i/>
          <w:iCs/>
          <w:sz w:val="28"/>
          <w:szCs w:val="28"/>
        </w:rPr>
        <w:t>R</w:t>
      </w:r>
      <w:r w:rsidRPr="00DF5E60">
        <w:rPr>
          <w:rFonts w:cs="Arial"/>
          <w:b/>
          <w:bCs/>
          <w:i/>
          <w:iCs/>
          <w:sz w:val="28"/>
          <w:szCs w:val="28"/>
        </w:rPr>
        <w:t xml:space="preserve"> pour le cycle 2022-2027.</w:t>
      </w:r>
    </w:p>
    <w:p w:rsidR="00DF5E60" w:rsidRPr="00DF5E60" w:rsidRDefault="00DF5E60" w:rsidP="00DF5E60">
      <w:pPr>
        <w:jc w:val="both"/>
      </w:pPr>
      <w:r w:rsidRPr="00DF5E60">
        <w:t xml:space="preserve">L’AELB joint à cette note un tableau analytique de la programmation prévisionnelle annuelle des </w:t>
      </w:r>
      <w:r w:rsidR="00610FA6">
        <w:t>PE</w:t>
      </w:r>
      <w:r w:rsidRPr="00DF5E60">
        <w:t xml:space="preserve"> sur la période 2022-2027. Ce tableau comprend les éléments de qualité à suivre par stations et les fréquences associées pour le cycle à venir. Il est entendu que cette programmation pluriannuelle sera corrigée à la marge au fil du temps en fonction de l’avancement d’actions locales ou de reports de mesures faisant suite à des évènements particuliers (</w:t>
      </w:r>
      <w:r w:rsidR="00610FA6">
        <w:t>vidanges, refus d’accès,…</w:t>
      </w:r>
      <w:r w:rsidRPr="00DF5E60">
        <w:t xml:space="preserve">)  </w:t>
      </w:r>
    </w:p>
    <w:p w:rsidR="00DF5E60" w:rsidRDefault="00DF5E60" w:rsidP="00DF5E60">
      <w:pPr>
        <w:jc w:val="both"/>
      </w:pPr>
      <w:r w:rsidRPr="00DF5E60">
        <w:t xml:space="preserve">Ce programme prévisionnel alimentera la rédaction de l'arrêté de bassin pour fin 2021 et servira de base à nos partenaires pour ajuster leur propre réseau. </w:t>
      </w:r>
    </w:p>
    <w:p w:rsidR="00834382" w:rsidRDefault="00834382" w:rsidP="00DF5E60">
      <w:pPr>
        <w:jc w:val="both"/>
      </w:pPr>
    </w:p>
    <w:p w:rsidR="00834382" w:rsidRDefault="00834382" w:rsidP="00DF5E60">
      <w:pPr>
        <w:jc w:val="both"/>
      </w:pPr>
      <w:r>
        <w:t>Il est disponible sur l’extranet ALFRESCO : PDS_PE_2022_2027</w:t>
      </w:r>
    </w:p>
    <w:p w:rsidR="00834382" w:rsidRDefault="001F39BB" w:rsidP="00DF5E60">
      <w:pPr>
        <w:jc w:val="both"/>
        <w:rPr>
          <w:rStyle w:val="Lienhypertexte"/>
        </w:rPr>
      </w:pPr>
      <w:hyperlink r:id="rId11" w:history="1">
        <w:r w:rsidR="00834382" w:rsidRPr="00913730">
          <w:rPr>
            <w:rStyle w:val="Lienhypertexte"/>
          </w:rPr>
          <w:t>http://espaces-collaboratifs.eau-loire-bretagne.fr/alfresco/faces/jsp/login.jsp</w:t>
        </w:r>
      </w:hyperlink>
    </w:p>
    <w:p w:rsidR="00493C7F" w:rsidRPr="00493C7F" w:rsidRDefault="00493C7F" w:rsidP="00DF5E60">
      <w:pPr>
        <w:jc w:val="both"/>
        <w:rPr>
          <w:b/>
          <w:color w:val="17365D" w:themeColor="text2" w:themeShade="BF"/>
          <w:sz w:val="16"/>
        </w:rPr>
      </w:pPr>
      <w:r w:rsidRPr="00493C7F">
        <w:rPr>
          <w:b/>
          <w:color w:val="17365D" w:themeColor="text2" w:themeShade="BF"/>
          <w:sz w:val="16"/>
        </w:rPr>
        <w:t>Agence de l’eau Loire Bretagne &gt; R. Surveillance-PE AEL</w:t>
      </w:r>
      <w:r w:rsidR="005641E6">
        <w:rPr>
          <w:b/>
          <w:color w:val="17365D" w:themeColor="text2" w:themeShade="BF"/>
          <w:sz w:val="16"/>
        </w:rPr>
        <w:t xml:space="preserve">B </w:t>
      </w:r>
    </w:p>
    <w:p w:rsidR="00B451D4" w:rsidRDefault="00834382" w:rsidP="00DF5E60">
      <w:pPr>
        <w:jc w:val="both"/>
      </w:pPr>
      <w:r>
        <w:t>Login : QU</w:t>
      </w:r>
      <w:r w:rsidR="00493C7F">
        <w:t>ALITE_MILIEU ; QUALITE_MILIEU01</w:t>
      </w:r>
    </w:p>
    <w:p w:rsidR="00685CC9" w:rsidRDefault="00685CC9">
      <w:pPr>
        <w:spacing w:before="0"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104514" w:rsidRDefault="00685CC9" w:rsidP="00685CC9">
      <w:pPr>
        <w:spacing w:before="0" w:after="200" w:line="276" w:lineRule="auto"/>
        <w:jc w:val="center"/>
        <w:rPr>
          <w:rFonts w:cs="Arial"/>
          <w:b/>
          <w:bCs/>
          <w:i/>
          <w:iCs/>
          <w:sz w:val="28"/>
          <w:szCs w:val="28"/>
        </w:rPr>
      </w:pPr>
      <w:r w:rsidRPr="00685CC9">
        <w:rPr>
          <w:rFonts w:cs="Arial"/>
          <w:b/>
          <w:bCs/>
          <w:i/>
          <w:iCs/>
          <w:sz w:val="28"/>
          <w:szCs w:val="28"/>
        </w:rPr>
        <w:lastRenderedPageBreak/>
        <w:t>ANNEXE</w:t>
      </w:r>
    </w:p>
    <w:p w:rsidR="00005B6E" w:rsidRDefault="008E428F" w:rsidP="000254B2">
      <w:pPr>
        <w:pStyle w:val="western"/>
        <w:spacing w:after="113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428F">
        <w:rPr>
          <w:noProof/>
        </w:rPr>
        <w:drawing>
          <wp:anchor distT="0" distB="0" distL="114300" distR="114300" simplePos="0" relativeHeight="251661312" behindDoc="1" locked="0" layoutInCell="1" allowOverlap="1" wp14:anchorId="4967AC34" wp14:editId="29461EB5">
            <wp:simplePos x="0" y="0"/>
            <wp:positionH relativeFrom="column">
              <wp:posOffset>-504190</wp:posOffset>
            </wp:positionH>
            <wp:positionV relativeFrom="paragraph">
              <wp:posOffset>721360</wp:posOffset>
            </wp:positionV>
            <wp:extent cx="6873240" cy="7573645"/>
            <wp:effectExtent l="19050" t="19050" r="22860" b="27305"/>
            <wp:wrapTight wrapText="bothSides">
              <wp:wrapPolygon edited="0">
                <wp:start x="-60" y="-54"/>
                <wp:lineTo x="-60" y="21624"/>
                <wp:lineTo x="21612" y="21624"/>
                <wp:lineTo x="21612" y="-54"/>
                <wp:lineTo x="-60" y="-54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75736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B2">
        <w:rPr>
          <w:rFonts w:ascii="Arial" w:hAnsi="Arial" w:cs="Arial"/>
          <w:b w:val="0"/>
          <w:bCs w:val="0"/>
          <w:sz w:val="20"/>
          <w:szCs w:val="20"/>
        </w:rPr>
        <w:t xml:space="preserve">Le tableau ci-après présente </w:t>
      </w:r>
      <w:r w:rsidR="00071AB2">
        <w:rPr>
          <w:rFonts w:ascii="Arial" w:hAnsi="Arial" w:cs="Arial"/>
          <w:b w:val="0"/>
          <w:bCs w:val="0"/>
          <w:sz w:val="20"/>
          <w:szCs w:val="20"/>
        </w:rPr>
        <w:t>la pertinence des éléments de qualité biologique</w:t>
      </w:r>
      <w:r w:rsidR="000254B2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71AB2">
        <w:rPr>
          <w:rFonts w:ascii="Arial" w:hAnsi="Arial" w:cs="Arial"/>
          <w:b w:val="0"/>
          <w:bCs w:val="0"/>
          <w:sz w:val="20"/>
          <w:szCs w:val="20"/>
        </w:rPr>
        <w:t>pour les</w:t>
      </w:r>
      <w:r w:rsidR="000254B2">
        <w:rPr>
          <w:rFonts w:ascii="Arial" w:hAnsi="Arial" w:cs="Arial"/>
          <w:b w:val="0"/>
          <w:bCs w:val="0"/>
          <w:sz w:val="20"/>
          <w:szCs w:val="20"/>
        </w:rPr>
        <w:t xml:space="preserve"> plan</w:t>
      </w:r>
      <w:r w:rsidR="00071AB2">
        <w:rPr>
          <w:rFonts w:ascii="Arial" w:hAnsi="Arial" w:cs="Arial"/>
          <w:b w:val="0"/>
          <w:bCs w:val="0"/>
          <w:sz w:val="20"/>
          <w:szCs w:val="20"/>
        </w:rPr>
        <w:t>s</w:t>
      </w:r>
      <w:r w:rsidR="000254B2">
        <w:rPr>
          <w:rFonts w:ascii="Arial" w:hAnsi="Arial" w:cs="Arial"/>
          <w:b w:val="0"/>
          <w:bCs w:val="0"/>
          <w:sz w:val="20"/>
          <w:szCs w:val="20"/>
        </w:rPr>
        <w:t xml:space="preserve"> d’eau </w:t>
      </w:r>
      <w:r w:rsidR="00071AB2">
        <w:rPr>
          <w:rFonts w:ascii="Arial" w:hAnsi="Arial" w:cs="Arial"/>
          <w:b w:val="0"/>
          <w:bCs w:val="0"/>
          <w:sz w:val="20"/>
          <w:szCs w:val="20"/>
        </w:rPr>
        <w:t>du</w:t>
      </w:r>
      <w:r w:rsidR="000254B2">
        <w:rPr>
          <w:rFonts w:ascii="Arial" w:hAnsi="Arial" w:cs="Arial"/>
          <w:b w:val="0"/>
          <w:bCs w:val="0"/>
          <w:sz w:val="20"/>
          <w:szCs w:val="20"/>
        </w:rPr>
        <w:t xml:space="preserve"> bassin </w:t>
      </w:r>
      <w:r w:rsidR="00071AB2">
        <w:rPr>
          <w:rFonts w:ascii="Arial" w:hAnsi="Arial" w:cs="Arial"/>
          <w:b w:val="0"/>
          <w:bCs w:val="0"/>
          <w:sz w:val="20"/>
          <w:szCs w:val="20"/>
        </w:rPr>
        <w:t>Loire-Bretagne :</w:t>
      </w:r>
    </w:p>
    <w:p w:rsidR="00685CC9" w:rsidRPr="00685CC9" w:rsidRDefault="008E428F" w:rsidP="00685CC9">
      <w:pPr>
        <w:spacing w:before="0" w:after="200" w:line="276" w:lineRule="auto"/>
        <w:rPr>
          <w:rFonts w:cs="Arial"/>
          <w:b/>
          <w:bCs/>
          <w:i/>
          <w:iCs/>
          <w:sz w:val="28"/>
          <w:szCs w:val="28"/>
        </w:rPr>
      </w:pPr>
      <w:r w:rsidRPr="008E428F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8519795</wp:posOffset>
            </wp:positionV>
            <wp:extent cx="4550410" cy="542925"/>
            <wp:effectExtent l="0" t="0" r="2540" b="0"/>
            <wp:wrapTight wrapText="bothSides">
              <wp:wrapPolygon edited="0">
                <wp:start x="0" y="0"/>
                <wp:lineTo x="0" y="18189"/>
                <wp:lineTo x="2984" y="19705"/>
                <wp:lineTo x="13474" y="19705"/>
                <wp:lineTo x="21522" y="16674"/>
                <wp:lineTo x="21522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28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14605</wp:posOffset>
            </wp:positionV>
            <wp:extent cx="6865620" cy="8505190"/>
            <wp:effectExtent l="19050" t="19050" r="11430" b="10160"/>
            <wp:wrapTight wrapText="bothSides">
              <wp:wrapPolygon edited="0">
                <wp:start x="-60" y="-48"/>
                <wp:lineTo x="-60" y="21577"/>
                <wp:lineTo x="21576" y="21577"/>
                <wp:lineTo x="21576" y="-48"/>
                <wp:lineTo x="-60" y="-48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85051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5CC9" w:rsidRPr="0068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AA" w:rsidRDefault="007E32AA" w:rsidP="007D1669">
      <w:pPr>
        <w:spacing w:before="0"/>
      </w:pPr>
      <w:r>
        <w:separator/>
      </w:r>
    </w:p>
  </w:endnote>
  <w:endnote w:type="continuationSeparator" w:id="0">
    <w:p w:rsidR="007E32AA" w:rsidRDefault="007E32AA" w:rsidP="007D16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AA" w:rsidRDefault="007E32AA" w:rsidP="007D1669">
      <w:pPr>
        <w:spacing w:before="0"/>
      </w:pPr>
      <w:r>
        <w:separator/>
      </w:r>
    </w:p>
  </w:footnote>
  <w:footnote w:type="continuationSeparator" w:id="0">
    <w:p w:rsidR="007E32AA" w:rsidRDefault="007E32AA" w:rsidP="007D1669">
      <w:pPr>
        <w:spacing w:before="0"/>
      </w:pPr>
      <w:r>
        <w:continuationSeparator/>
      </w:r>
    </w:p>
  </w:footnote>
  <w:footnote w:id="1">
    <w:p w:rsidR="007D1669" w:rsidRPr="00F31F66" w:rsidRDefault="007D1669" w:rsidP="007D1669">
      <w:pPr>
        <w:pStyle w:val="Notedebasdepage"/>
      </w:pPr>
      <w:r w:rsidRPr="00F31F66">
        <w:rPr>
          <w:rStyle w:val="Appelnotedebasdep"/>
          <w:rFonts w:ascii="Times New Roman" w:hAnsi="Times New Roman"/>
          <w:sz w:val="16"/>
          <w:szCs w:val="16"/>
        </w:rPr>
        <w:footnoteRef/>
      </w:r>
      <w:r w:rsidRPr="00F31F66">
        <w:rPr>
          <w:rFonts w:ascii="Times New Roman" w:hAnsi="Times New Roman"/>
          <w:sz w:val="16"/>
          <w:szCs w:val="16"/>
        </w:rPr>
        <w:t xml:space="preserve"> </w:t>
      </w:r>
      <w:r w:rsidRPr="00C02047">
        <w:rPr>
          <w:rFonts w:ascii="Times New Roman" w:hAnsi="Times New Roman"/>
          <w:sz w:val="16"/>
          <w:szCs w:val="16"/>
        </w:rPr>
        <w:t>https://sdage-sage.eau-loire-bretagne.fr/home/projet-de-sdage-preparer-la-re-1/les-documents-du-sdage-2022-2027/etat-des-lieux-2019.html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782"/>
    <w:multiLevelType w:val="hybridMultilevel"/>
    <w:tmpl w:val="558670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4152"/>
    <w:multiLevelType w:val="hybridMultilevel"/>
    <w:tmpl w:val="B22A9464"/>
    <w:lvl w:ilvl="0" w:tplc="19C2A6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E82551"/>
    <w:multiLevelType w:val="hybridMultilevel"/>
    <w:tmpl w:val="E39EDB50"/>
    <w:lvl w:ilvl="0" w:tplc="61927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87B3B"/>
    <w:multiLevelType w:val="hybridMultilevel"/>
    <w:tmpl w:val="DEE0E3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4816B2"/>
    <w:multiLevelType w:val="hybridMultilevel"/>
    <w:tmpl w:val="49F0DC0A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DD"/>
    <w:rsid w:val="00005B6E"/>
    <w:rsid w:val="000254B2"/>
    <w:rsid w:val="00071AB2"/>
    <w:rsid w:val="000C7AA7"/>
    <w:rsid w:val="00104514"/>
    <w:rsid w:val="00154820"/>
    <w:rsid w:val="001E7967"/>
    <w:rsid w:val="001F39BB"/>
    <w:rsid w:val="001F575C"/>
    <w:rsid w:val="002E683C"/>
    <w:rsid w:val="003450CE"/>
    <w:rsid w:val="003D55B0"/>
    <w:rsid w:val="00406D5D"/>
    <w:rsid w:val="00472EDF"/>
    <w:rsid w:val="00493C7F"/>
    <w:rsid w:val="004A08C9"/>
    <w:rsid w:val="004B0759"/>
    <w:rsid w:val="00553DFA"/>
    <w:rsid w:val="005641E6"/>
    <w:rsid w:val="00565F1C"/>
    <w:rsid w:val="005735BE"/>
    <w:rsid w:val="00596153"/>
    <w:rsid w:val="005B0EBD"/>
    <w:rsid w:val="00610FA6"/>
    <w:rsid w:val="0068516A"/>
    <w:rsid w:val="00685CC9"/>
    <w:rsid w:val="006E5445"/>
    <w:rsid w:val="007D1669"/>
    <w:rsid w:val="007E32AA"/>
    <w:rsid w:val="00816DF2"/>
    <w:rsid w:val="00834382"/>
    <w:rsid w:val="00862325"/>
    <w:rsid w:val="008B27EE"/>
    <w:rsid w:val="008E428F"/>
    <w:rsid w:val="0096284F"/>
    <w:rsid w:val="00A36708"/>
    <w:rsid w:val="00A65E36"/>
    <w:rsid w:val="00AF2350"/>
    <w:rsid w:val="00B451D4"/>
    <w:rsid w:val="00B87068"/>
    <w:rsid w:val="00B91A37"/>
    <w:rsid w:val="00C00FDD"/>
    <w:rsid w:val="00C7576D"/>
    <w:rsid w:val="00C9139E"/>
    <w:rsid w:val="00D200E8"/>
    <w:rsid w:val="00D87144"/>
    <w:rsid w:val="00DF5E60"/>
    <w:rsid w:val="00EF5D09"/>
    <w:rsid w:val="00EF6454"/>
    <w:rsid w:val="00F44B1E"/>
    <w:rsid w:val="00F5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DD"/>
    <w:pPr>
      <w:spacing w:before="120"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45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154820"/>
    <w:pPr>
      <w:spacing w:after="0" w:line="240" w:lineRule="auto"/>
    </w:pPr>
    <w:rPr>
      <w:rFonts w:ascii="Arial" w:hAnsi="Arial"/>
      <w:sz w:val="20"/>
    </w:rPr>
  </w:style>
  <w:style w:type="paragraph" w:customStyle="1" w:styleId="StyleArial10ptJustifi">
    <w:name w:val="Style Arial 10 pt Justifié"/>
    <w:basedOn w:val="Normal"/>
    <w:rsid w:val="00C00FDD"/>
    <w:pPr>
      <w:jc w:val="both"/>
    </w:pPr>
    <w:rPr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C00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16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16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F23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7D166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D1669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7D1669"/>
    <w:rPr>
      <w:vertAlign w:val="superscript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F5E60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3438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0254B2"/>
    <w:pPr>
      <w:spacing w:before="278"/>
      <w:jc w:val="center"/>
    </w:pPr>
    <w:rPr>
      <w:rFonts w:ascii="Liberation Sans" w:hAnsi="Liberation Sans" w:cs="Liberation Sans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DD"/>
    <w:pPr>
      <w:spacing w:before="120"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45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154820"/>
    <w:pPr>
      <w:spacing w:after="0" w:line="240" w:lineRule="auto"/>
    </w:pPr>
    <w:rPr>
      <w:rFonts w:ascii="Arial" w:hAnsi="Arial"/>
      <w:sz w:val="20"/>
    </w:rPr>
  </w:style>
  <w:style w:type="paragraph" w:customStyle="1" w:styleId="StyleArial10ptJustifi">
    <w:name w:val="Style Arial 10 pt Justifié"/>
    <w:basedOn w:val="Normal"/>
    <w:rsid w:val="00C00FDD"/>
    <w:pPr>
      <w:jc w:val="both"/>
    </w:pPr>
    <w:rPr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C00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16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16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F23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7D166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D1669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7D1669"/>
    <w:rPr>
      <w:vertAlign w:val="superscript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F5E60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3438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0254B2"/>
    <w:pPr>
      <w:spacing w:before="278"/>
      <w:jc w:val="center"/>
    </w:pPr>
    <w:rPr>
      <w:rFonts w:ascii="Liberation Sans" w:hAnsi="Liberation Sans" w:cs="Liberation San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paces-collaboratifs.eau-loire-bretagne.fr/alfresco/faces/jsp/login.j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6995652887139107E-2"/>
          <c:y val="3.4729300029802734E-2"/>
          <c:w val="0.74303204367753106"/>
          <c:h val="0.88690773220887531"/>
        </c:manualLayout>
      </c:layout>
      <c:lineChart>
        <c:grouping val="standard"/>
        <c:varyColors val="0"/>
        <c:ser>
          <c:idx val="0"/>
          <c:order val="0"/>
          <c:tx>
            <c:strRef>
              <c:f>PDS_PE_22_27!$FF$1</c:f>
              <c:strCache>
                <c:ptCount val="1"/>
                <c:pt idx="0">
                  <c:v>PC_PHYTO_EAU_22_27</c:v>
                </c:pt>
              </c:strCache>
            </c:strRef>
          </c:tx>
          <c:marker>
            <c:symbol val="none"/>
          </c:marker>
          <c:cat>
            <c:numRef>
              <c:f>PDS_PE_22_27!$DL$139:$DQ$139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</c:numCache>
            </c:numRef>
          </c:cat>
          <c:val>
            <c:numRef>
              <c:f>(PDS_PE_22_27!$CV$112;PDS_PE_22_27!$DD$112;PDS_PE_22_27!$DL$112;PDS_PE_22_27!$DT$112;PDS_PE_22_27!$EB$112;PDS_PE_22_27!$EJ$112)</c:f>
              <c:numCache>
                <c:formatCode>General</c:formatCode>
                <c:ptCount val="6"/>
                <c:pt idx="0">
                  <c:v>34</c:v>
                </c:pt>
                <c:pt idx="1">
                  <c:v>36</c:v>
                </c:pt>
                <c:pt idx="2">
                  <c:v>30</c:v>
                </c:pt>
                <c:pt idx="3">
                  <c:v>34</c:v>
                </c:pt>
                <c:pt idx="4">
                  <c:v>31</c:v>
                </c:pt>
                <c:pt idx="5">
                  <c:v>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PDS_PE_22_27!$FH$1</c:f>
              <c:strCache>
                <c:ptCount val="1"/>
                <c:pt idx="0">
                  <c:v>POISS_22_27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PDS_PE_22_27!$DL$139:$DQ$139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</c:numCache>
            </c:numRef>
          </c:cat>
          <c:val>
            <c:numRef>
              <c:f>(PDS_PE_22_27!$CX$112;PDS_PE_22_27!$DF$112;PDS_PE_22_27!$DN$112;PDS_PE_22_27!$DV$112;PDS_PE_22_27!$ED$112;PDS_PE_22_27!$EL$112)</c:f>
              <c:numCache>
                <c:formatCode>General</c:formatCode>
                <c:ptCount val="6"/>
                <c:pt idx="0">
                  <c:v>18</c:v>
                </c:pt>
                <c:pt idx="1">
                  <c:v>16</c:v>
                </c:pt>
                <c:pt idx="2">
                  <c:v>17</c:v>
                </c:pt>
                <c:pt idx="3">
                  <c:v>12</c:v>
                </c:pt>
                <c:pt idx="4">
                  <c:v>13</c:v>
                </c:pt>
                <c:pt idx="5">
                  <c:v>10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PDS_PE_22_27!$FI$1</c:f>
              <c:strCache>
                <c:ptCount val="1"/>
                <c:pt idx="0">
                  <c:v>MACROPHYTES_22_27</c:v>
                </c:pt>
              </c:strCache>
            </c:strRef>
          </c:tx>
          <c:marker>
            <c:symbol val="none"/>
          </c:marker>
          <c:cat>
            <c:numRef>
              <c:f>PDS_PE_22_27!$DL$139:$DQ$139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</c:numCache>
            </c:numRef>
          </c:cat>
          <c:val>
            <c:numRef>
              <c:f>(PDS_PE_22_27!$CY$112;PDS_PE_22_27!$DG$112;PDS_PE_22_27!$DO$112;PDS_PE_22_27!$DW$112;PDS_PE_22_27!$EE$112;PDS_PE_22_27!$EM$112)</c:f>
              <c:numCache>
                <c:formatCode>General</c:formatCode>
                <c:ptCount val="6"/>
                <c:pt idx="0">
                  <c:v>16</c:v>
                </c:pt>
                <c:pt idx="1">
                  <c:v>13</c:v>
                </c:pt>
                <c:pt idx="2">
                  <c:v>15</c:v>
                </c:pt>
                <c:pt idx="3">
                  <c:v>15</c:v>
                </c:pt>
                <c:pt idx="4">
                  <c:v>13</c:v>
                </c:pt>
                <c:pt idx="5">
                  <c:v>18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PDS_PE_22_27!$FJ$1</c:f>
              <c:strCache>
                <c:ptCount val="1"/>
                <c:pt idx="0">
                  <c:v>DIAT_22_27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PDS_PE_22_27!$DL$139:$DQ$139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</c:numCache>
            </c:numRef>
          </c:cat>
          <c:val>
            <c:numRef>
              <c:f>(PDS_PE_22_27!$CZ$112;PDS_PE_22_27!$DH$112;PDS_PE_22_27!$DP$112;PDS_PE_22_27!$DX$112;PDS_PE_22_27!$EF$112;PDS_PE_22_27!$EN$112)</c:f>
              <c:numCache>
                <c:formatCode>General</c:formatCode>
                <c:ptCount val="6"/>
                <c:pt idx="0">
                  <c:v>16</c:v>
                </c:pt>
                <c:pt idx="1">
                  <c:v>13</c:v>
                </c:pt>
                <c:pt idx="2">
                  <c:v>15</c:v>
                </c:pt>
                <c:pt idx="3">
                  <c:v>15</c:v>
                </c:pt>
                <c:pt idx="4">
                  <c:v>13</c:v>
                </c:pt>
                <c:pt idx="5">
                  <c:v>18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PDS_PE_22_27!$FK$1</c:f>
              <c:strCache>
                <c:ptCount val="1"/>
                <c:pt idx="0">
                  <c:v>INV_22_27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PDS_PE_22_27!$DL$139:$DQ$139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</c:numCache>
            </c:numRef>
          </c:cat>
          <c:val>
            <c:numRef>
              <c:f>(PDS_PE_22_27!$DA$112;PDS_PE_22_27!$DI$112;PDS_PE_22_27!$DQ$112;PDS_PE_22_27!$DY$112;PDS_PE_22_27!$EG$112;PDS_PE_22_27!$EO$112)</c:f>
              <c:numCache>
                <c:formatCode>General</c:formatCode>
                <c:ptCount val="6"/>
                <c:pt idx="0">
                  <c:v>34</c:v>
                </c:pt>
                <c:pt idx="1">
                  <c:v>36</c:v>
                </c:pt>
                <c:pt idx="2">
                  <c:v>30</c:v>
                </c:pt>
                <c:pt idx="3">
                  <c:v>34</c:v>
                </c:pt>
                <c:pt idx="4">
                  <c:v>31</c:v>
                </c:pt>
                <c:pt idx="5">
                  <c:v>34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PDS_PE_22_27!$FL$1</c:f>
              <c:strCache>
                <c:ptCount val="1"/>
                <c:pt idx="0">
                  <c:v>BATHY_22_27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val>
            <c:numRef>
              <c:f>(PDS_PE_22_27!$DB$112;PDS_PE_22_27!$DJ$112;PDS_PE_22_27!$DR$112;PDS_PE_22_27!$DZ$112;PDS_PE_22_27!$EH$112;PDS_PE_22_27!$EP$112)</c:f>
              <c:numCache>
                <c:formatCode>General</c:formatCode>
                <c:ptCount val="6"/>
                <c:pt idx="0">
                  <c:v>13</c:v>
                </c:pt>
                <c:pt idx="1">
                  <c:v>19</c:v>
                </c:pt>
                <c:pt idx="2">
                  <c:v>7</c:v>
                </c:pt>
                <c:pt idx="3">
                  <c:v>14</c:v>
                </c:pt>
                <c:pt idx="4">
                  <c:v>8</c:v>
                </c:pt>
                <c:pt idx="5">
                  <c:v>10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PDS_PE_22_27!$FM$1</c:f>
              <c:strCache>
                <c:ptCount val="1"/>
                <c:pt idx="0">
                  <c:v>HYMO_22_27</c:v>
                </c:pt>
              </c:strCache>
            </c:strRef>
          </c:tx>
          <c:marker>
            <c:symbol val="none"/>
          </c:marker>
          <c:val>
            <c:numRef>
              <c:f>(PDS_PE_22_27!$DC$112;PDS_PE_22_27!$DK$112;PDS_PE_22_27!$DS$112;PDS_PE_22_27!$EA$112;PDS_PE_22_27!$EI$112;PDS_PE_22_27!$EQ$112)</c:f>
              <c:numCache>
                <c:formatCode>General</c:formatCode>
                <c:ptCount val="6"/>
                <c:pt idx="0">
                  <c:v>11</c:v>
                </c:pt>
                <c:pt idx="1">
                  <c:v>4</c:v>
                </c:pt>
                <c:pt idx="2">
                  <c:v>13</c:v>
                </c:pt>
                <c:pt idx="3">
                  <c:v>8</c:v>
                </c:pt>
                <c:pt idx="4">
                  <c:v>9</c:v>
                </c:pt>
                <c:pt idx="5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507456"/>
        <c:axId val="211513344"/>
      </c:lineChart>
      <c:catAx>
        <c:axId val="21150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1513344"/>
        <c:crosses val="autoZero"/>
        <c:auto val="1"/>
        <c:lblAlgn val="ctr"/>
        <c:lblOffset val="100"/>
        <c:noMultiLvlLbl val="0"/>
      </c:catAx>
      <c:valAx>
        <c:axId val="21151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507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83330483911452"/>
          <c:y val="0.22721063637460806"/>
          <c:w val="0.20116669516088534"/>
          <c:h val="0.6235064765531289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6A53-74FB-4DC3-8BA2-DC31E4D8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présentation du programme de surveillance de l’état écologique des masses d’eau plans d’eau pour le cycle de surveillance 2022-2027.</vt:lpstr>
    </vt:vector>
  </TitlesOfParts>
  <Company>Agence de l'eau Loire-Bretagne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présentation du programme de surveillance de l’état écologique des masses d’eau plans d’eau pour le cycle de surveillance 2022-2027.</dc:title>
  <dc:creator>Agence de l'eau Loire-Bretagne</dc:creator>
  <cp:lastModifiedBy>SAVIGNAT Marie-Nathalie</cp:lastModifiedBy>
  <cp:revision>14</cp:revision>
  <cp:lastPrinted>2021-11-18T15:43:00Z</cp:lastPrinted>
  <dcterms:created xsi:type="dcterms:W3CDTF">2021-11-18T08:53:00Z</dcterms:created>
  <dcterms:modified xsi:type="dcterms:W3CDTF">2021-12-08T11:12:00Z</dcterms:modified>
</cp:coreProperties>
</file>